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A7FB" w14:textId="77777777" w:rsidR="005A32CD" w:rsidRDefault="005A32CD">
      <w:pPr>
        <w:spacing w:before="69" w:after="69" w:line="240" w:lineRule="exact"/>
        <w:rPr>
          <w:sz w:val="19"/>
          <w:szCs w:val="19"/>
        </w:rPr>
      </w:pPr>
    </w:p>
    <w:p w14:paraId="30A51776" w14:textId="77777777" w:rsidR="005A32CD" w:rsidRDefault="005A32CD">
      <w:pPr>
        <w:spacing w:line="1" w:lineRule="exact"/>
        <w:sectPr w:rsidR="005A32CD">
          <w:headerReference w:type="default" r:id="rId8"/>
          <w:footerReference w:type="default" r:id="rId9"/>
          <w:pgSz w:w="11900" w:h="16840"/>
          <w:pgMar w:top="999" w:right="773" w:bottom="1274" w:left="1739" w:header="0" w:footer="3" w:gutter="0"/>
          <w:pgNumType w:start="1"/>
          <w:cols w:space="720"/>
          <w:noEndnote/>
          <w:docGrid w:linePitch="360"/>
        </w:sectPr>
      </w:pPr>
    </w:p>
    <w:p w14:paraId="4881C416" w14:textId="77777777" w:rsidR="005A32CD" w:rsidRDefault="00707FA3">
      <w:pPr>
        <w:pStyle w:val="Bodytext20"/>
        <w:shd w:val="clear" w:color="auto" w:fill="auto"/>
        <w:spacing w:after="100"/>
        <w:jc w:val="center"/>
        <w:rPr>
          <w:sz w:val="28"/>
          <w:szCs w:val="28"/>
        </w:rPr>
      </w:pPr>
      <w:r>
        <w:rPr>
          <w:b/>
          <w:bCs/>
          <w:sz w:val="28"/>
          <w:szCs w:val="28"/>
        </w:rPr>
        <w:lastRenderedPageBreak/>
        <w:t>DOMANDA DI PARTECIPAZIONE E DICHIARAZIONE</w:t>
      </w:r>
    </w:p>
    <w:p w14:paraId="354C5F01" w14:textId="77777777" w:rsidR="005A32CD" w:rsidRDefault="00707FA3">
      <w:pPr>
        <w:pStyle w:val="Bodytext30"/>
        <w:shd w:val="clear" w:color="auto" w:fill="auto"/>
        <w:spacing w:after="760"/>
        <w:jc w:val="center"/>
      </w:pPr>
      <w:r>
        <w:rPr>
          <w:u w:val="single"/>
        </w:rPr>
        <w:t>(DA COMPILARE E SOTTOSCRIVERE CON FIRMA DIGITALE)</w:t>
      </w:r>
    </w:p>
    <w:p w14:paraId="29DC7CE9" w14:textId="34A69E87" w:rsidR="005F5BA2" w:rsidRPr="005F5BA2" w:rsidRDefault="005F5BA2" w:rsidP="005F5BA2">
      <w:pPr>
        <w:pStyle w:val="Corpotesto"/>
        <w:pBdr>
          <w:top w:val="single" w:sz="4" w:space="9" w:color="auto"/>
          <w:left w:val="single" w:sz="4" w:space="0" w:color="auto"/>
          <w:bottom w:val="single" w:sz="4" w:space="0" w:color="auto"/>
          <w:right w:val="single" w:sz="4" w:space="0" w:color="auto"/>
        </w:pBdr>
        <w:shd w:val="clear" w:color="auto" w:fill="auto"/>
        <w:spacing w:after="680" w:line="221" w:lineRule="auto"/>
        <w:jc w:val="both"/>
      </w:pPr>
      <w:r w:rsidRPr="005F5BA2">
        <w:t>AFFIDAMENTO IN CONCESSIONE DEL SERVIZIO DI GESTIONE DI DISTRIBUZIONE AUTOMATICA DI BEVANDE ED ALIMENTI PRESSO LA QUESTURA DI BERGAMO E PRESSO IL COMMISSARIATO DI TREVIGLIO (BG); PER LA DURATA DI ANNI 3 (TRE) DALLA STIPULA DEL CONTRATTO CON PROCEDURA</w:t>
      </w:r>
      <w:r w:rsidR="00451A4F">
        <w:rPr>
          <w:b/>
          <w:bCs/>
          <w:color w:val="00000A"/>
          <w:sz w:val="16"/>
          <w:szCs w:val="16"/>
        </w:rPr>
        <w:t xml:space="preserve"> </w:t>
      </w:r>
      <w:r w:rsidRPr="005F5BA2">
        <w:t>NEGOZIATA SENZA PUBBLICAZIONE DEL BANDO DI GARA AI SENSI DELL’ART. 187 D.gs 36/2023.</w:t>
      </w:r>
    </w:p>
    <w:p w14:paraId="70FA02C0" w14:textId="77777777" w:rsidR="005A32CD" w:rsidRDefault="00707FA3">
      <w:pPr>
        <w:pStyle w:val="Bodytext20"/>
        <w:shd w:val="clear" w:color="auto" w:fill="auto"/>
        <w:tabs>
          <w:tab w:val="left" w:leader="underscore" w:pos="9223"/>
        </w:tabs>
        <w:spacing w:after="0"/>
      </w:pPr>
      <w:r>
        <w:t xml:space="preserve">IL SOTTOSCRITTO </w:t>
      </w:r>
      <w:r>
        <w:tab/>
      </w:r>
    </w:p>
    <w:p w14:paraId="42486521" w14:textId="77777777"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14:paraId="6E5C73AF" w14:textId="77777777" w:rsidR="005A32CD" w:rsidRDefault="00707FA3">
      <w:pPr>
        <w:pStyle w:val="Bodytext20"/>
        <w:shd w:val="clear" w:color="auto" w:fill="auto"/>
        <w:tabs>
          <w:tab w:val="left" w:leader="underscore" w:pos="4853"/>
          <w:tab w:val="left" w:leader="underscore" w:pos="9223"/>
        </w:tabs>
        <w:spacing w:after="0"/>
      </w:pPr>
      <w:r>
        <w:t>C.F.</w:t>
      </w:r>
      <w:r>
        <w:tab/>
        <w:t>RESIDENTE IN</w:t>
      </w:r>
      <w:r>
        <w:tab/>
      </w:r>
    </w:p>
    <w:p w14:paraId="6BCEF276" w14:textId="77777777" w:rsidR="005A32CD" w:rsidRDefault="00707FA3">
      <w:pPr>
        <w:pStyle w:val="Bodytext20"/>
        <w:shd w:val="clear" w:color="auto" w:fill="auto"/>
        <w:tabs>
          <w:tab w:val="left" w:leader="underscore" w:pos="9223"/>
        </w:tabs>
        <w:spacing w:after="0"/>
      </w:pPr>
      <w:r>
        <w:t xml:space="preserve">NELLA SUA QUALITA' DI </w:t>
      </w:r>
      <w:r>
        <w:tab/>
      </w:r>
    </w:p>
    <w:p w14:paraId="7D389CAA" w14:textId="77777777" w:rsidR="005A32CD" w:rsidRDefault="00707FA3">
      <w:pPr>
        <w:pStyle w:val="Bodytext20"/>
        <w:shd w:val="clear" w:color="auto" w:fill="auto"/>
        <w:tabs>
          <w:tab w:val="left" w:leader="underscore" w:pos="5693"/>
          <w:tab w:val="left" w:leader="underscore" w:pos="9223"/>
        </w:tabs>
        <w:spacing w:after="0"/>
      </w:pPr>
      <w:r>
        <w:t>DELLA SOCIETA'</w:t>
      </w:r>
      <w:r>
        <w:tab/>
        <w:t>C.F.</w:t>
      </w:r>
      <w:r>
        <w:tab/>
      </w:r>
    </w:p>
    <w:p w14:paraId="7FDF1313" w14:textId="77777777" w:rsidR="005A32CD" w:rsidRDefault="00707FA3">
      <w:pPr>
        <w:pStyle w:val="Bodytext20"/>
        <w:shd w:val="clear" w:color="auto" w:fill="auto"/>
        <w:tabs>
          <w:tab w:val="left" w:leader="underscore" w:pos="5693"/>
          <w:tab w:val="left" w:leader="underscore" w:pos="9223"/>
        </w:tabs>
        <w:spacing w:after="0"/>
      </w:pPr>
      <w:r>
        <w:t>PARTITA IVA</w:t>
      </w:r>
      <w:r>
        <w:tab/>
        <w:t>TEL.</w:t>
      </w:r>
      <w:r>
        <w:tab/>
      </w:r>
    </w:p>
    <w:p w14:paraId="2BEBC0B5" w14:textId="77777777" w:rsidR="005A32CD" w:rsidRDefault="00707FA3">
      <w:pPr>
        <w:pStyle w:val="Bodytext20"/>
        <w:shd w:val="clear" w:color="auto" w:fill="auto"/>
        <w:tabs>
          <w:tab w:val="left" w:leader="underscore" w:pos="9223"/>
        </w:tabs>
        <w:spacing w:after="520"/>
      </w:pPr>
      <w:r>
        <w:t xml:space="preserve">P.E.C. </w:t>
      </w:r>
      <w:r>
        <w:tab/>
      </w:r>
    </w:p>
    <w:p w14:paraId="0E4C9C86" w14:textId="77777777" w:rsidR="005A32CD" w:rsidRDefault="00707FA3">
      <w:pPr>
        <w:pStyle w:val="Bodytext40"/>
        <w:shd w:val="clear" w:color="auto" w:fill="auto"/>
        <w:jc w:val="both"/>
      </w:pPr>
      <w:r>
        <w:t>CONSAPEVOLE DELLA RESPONSABILITA' PENALE CUI PUO' ANDARE INCONTRO NEL CASO DI AFFERMAZIONI MENDACI, AI SENSI DELL'ART. 76 DEL D.P.R. N. 445/2000</w:t>
      </w:r>
    </w:p>
    <w:p w14:paraId="2C1D8012" w14:textId="77777777" w:rsidR="005A32CD" w:rsidRDefault="00707FA3">
      <w:pPr>
        <w:pStyle w:val="Bodytext20"/>
        <w:shd w:val="clear" w:color="auto" w:fill="auto"/>
        <w:spacing w:after="300"/>
        <w:jc w:val="center"/>
        <w:rPr>
          <w:sz w:val="28"/>
          <w:szCs w:val="28"/>
        </w:rPr>
      </w:pPr>
      <w:r>
        <w:rPr>
          <w:b/>
          <w:bCs/>
          <w:sz w:val="28"/>
          <w:szCs w:val="28"/>
        </w:rPr>
        <w:t>C H I E D E</w:t>
      </w:r>
    </w:p>
    <w:p w14:paraId="69E8BA81" w14:textId="4DE78083" w:rsidR="005F5BA2" w:rsidRPr="00C233ED" w:rsidRDefault="005F5BA2" w:rsidP="005F5BA2">
      <w:pPr>
        <w:pStyle w:val="Bodytext20"/>
        <w:shd w:val="clear" w:color="auto" w:fill="auto"/>
        <w:spacing w:after="240"/>
        <w:jc w:val="both"/>
      </w:pPr>
      <w:r>
        <w:t xml:space="preserve">Di partecipare alla gara per l'affidamento in concessione </w:t>
      </w:r>
      <w:r w:rsidRPr="00C233ED">
        <w:t>de</w:t>
      </w:r>
      <w:r w:rsidR="00B310B9">
        <w:t>l</w:t>
      </w:r>
      <w:r w:rsidRPr="00C233ED">
        <w:t xml:space="preserve"> servizi</w:t>
      </w:r>
      <w:r w:rsidR="00B310B9">
        <w:t>o</w:t>
      </w:r>
      <w:bookmarkStart w:id="0" w:name="_GoBack"/>
      <w:bookmarkEnd w:id="0"/>
      <w:r w:rsidRPr="00C233ED">
        <w:t xml:space="preserve"> di distribuzione automatico di alimenti e bevande di nr. 14 distributori automatici di cui nr. 12 presso la Questura di Bergamo e nr. 2 presso il Commissariato di Treviglio (BG).</w:t>
      </w:r>
    </w:p>
    <w:p w14:paraId="274A0CE6" w14:textId="77777777" w:rsidR="005A32CD" w:rsidRDefault="00707FA3">
      <w:pPr>
        <w:pStyle w:val="Bodytext20"/>
        <w:shd w:val="clear" w:color="auto" w:fill="auto"/>
        <w:spacing w:after="0"/>
        <w:jc w:val="both"/>
      </w:pPr>
      <w:r>
        <w:rPr>
          <w:b/>
          <w:bCs/>
          <w:u w:val="single"/>
        </w:rPr>
        <w:t>A tal fine</w:t>
      </w:r>
    </w:p>
    <w:p w14:paraId="5EDD909F" w14:textId="77777777" w:rsidR="005A32CD" w:rsidRDefault="00707FA3">
      <w:pPr>
        <w:pStyle w:val="Bodytext20"/>
        <w:shd w:val="clear" w:color="auto" w:fill="auto"/>
        <w:spacing w:after="0" w:line="230" w:lineRule="auto"/>
        <w:jc w:val="center"/>
        <w:rPr>
          <w:sz w:val="28"/>
          <w:szCs w:val="28"/>
        </w:rPr>
      </w:pPr>
      <w:r>
        <w:rPr>
          <w:b/>
          <w:bCs/>
          <w:sz w:val="28"/>
          <w:szCs w:val="28"/>
        </w:rPr>
        <w:t>DICHIARA</w:t>
      </w:r>
    </w:p>
    <w:p w14:paraId="75021606" w14:textId="77777777" w:rsidR="005A32CD" w:rsidRDefault="00707FA3">
      <w:pPr>
        <w:pStyle w:val="Bodytext20"/>
        <w:shd w:val="clear" w:color="auto" w:fill="auto"/>
        <w:spacing w:after="240"/>
        <w:jc w:val="center"/>
      </w:pPr>
      <w:r>
        <w:t>ai sensi dell'articolo 46 del D.P.R. n. 445/2000</w:t>
      </w:r>
    </w:p>
    <w:p w14:paraId="6C13E474" w14:textId="77777777" w:rsidR="003E162F" w:rsidRDefault="00707FA3" w:rsidP="00B017AD">
      <w:pPr>
        <w:pStyle w:val="Bodytext20"/>
        <w:pBdr>
          <w:top w:val="single" w:sz="4" w:space="1" w:color="auto"/>
          <w:left w:val="single" w:sz="4" w:space="1" w:color="auto"/>
          <w:bottom w:val="single" w:sz="4" w:space="1" w:color="auto"/>
          <w:right w:val="single" w:sz="4" w:space="1" w:color="auto"/>
        </w:pBdr>
        <w:shd w:val="clear" w:color="auto" w:fill="auto"/>
        <w:spacing w:after="520"/>
        <w:jc w:val="both"/>
        <w:rPr>
          <w:b/>
          <w:bCs/>
          <w:sz w:val="26"/>
          <w:szCs w:val="26"/>
        </w:rPr>
      </w:pPr>
      <w:r>
        <w:t>CHE I FATTI, STATI E QUALITA' RIPORTATI NEI SUCCESSIVI PARAGRAFI CORRISPONDONO A VERITA':</w:t>
      </w:r>
    </w:p>
    <w:p w14:paraId="52303525" w14:textId="77777777" w:rsidR="005A32CD" w:rsidRDefault="00707FA3" w:rsidP="00B017AD">
      <w:pPr>
        <w:pStyle w:val="Corpotesto"/>
        <w:pBdr>
          <w:top w:val="single" w:sz="4" w:space="1" w:color="auto"/>
          <w:left w:val="single" w:sz="4" w:space="1" w:color="auto"/>
          <w:bottom w:val="single" w:sz="4" w:space="1" w:color="auto"/>
          <w:right w:val="single" w:sz="4" w:space="1"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7056B012" wp14:editId="231BBACE">
                <wp:simplePos x="0" y="0"/>
                <wp:positionH relativeFrom="page">
                  <wp:posOffset>1009015</wp:posOffset>
                </wp:positionH>
                <wp:positionV relativeFrom="paragraph">
                  <wp:posOffset>13335</wp:posOffset>
                </wp:positionV>
                <wp:extent cx="45085" cy="240665"/>
                <wp:effectExtent l="0" t="0" r="0" b="6985"/>
                <wp:wrapSquare wrapText="bothSides"/>
                <wp:docPr id="5" name="Shape 5"/>
                <wp:cNvGraphicFramePr/>
                <a:graphic xmlns:a="http://schemas.openxmlformats.org/drawingml/2006/main">
                  <a:graphicData uri="http://schemas.microsoft.com/office/word/2010/wordprocessingShape">
                    <wps:wsp>
                      <wps:cNvSpPr txBox="1"/>
                      <wps:spPr>
                        <a:xfrm>
                          <a:off x="0" y="0"/>
                          <a:ext cx="45085" cy="240665"/>
                        </a:xfrm>
                        <a:prstGeom prst="rect">
                          <a:avLst/>
                        </a:prstGeom>
                        <a:solidFill>
                          <a:srgbClr val="F2F2F2"/>
                        </a:solidFill>
                      </wps:spPr>
                      <wps:txbx>
                        <w:txbxContent>
                          <w:p w14:paraId="1EE1BBD9" w14:textId="77777777" w:rsidR="005A32CD" w:rsidRDefault="005A32CD">
                            <w:pPr>
                              <w:pStyle w:val="Corpotesto"/>
                              <w:shd w:val="clear" w:color="auto" w:fill="auto"/>
                              <w:spacing w:after="0"/>
                              <w:rPr>
                                <w:sz w:val="28"/>
                                <w:szCs w:val="28"/>
                              </w:rPr>
                            </w:pP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79.45pt;margin-top:1.05pt;width:3.55pt;height:18.9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" fillcolor="#f2f2f2" stroked="f">
                <v:textbox inset="0,0,0,0">
                  <w:txbxContent>
                    <w:p w14:paraId="1EE1BBD9" w14:textId="77777777"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14:paraId="1E73A1C9" w14:textId="77777777"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14:paraId="55127196" w14:textId="77777777" w:rsidR="005A32CD" w:rsidRDefault="00707FA3" w:rsidP="00B017AD">
      <w:pPr>
        <w:pStyle w:val="Corpotesto"/>
        <w:shd w:val="clear" w:color="auto" w:fill="auto"/>
        <w:tabs>
          <w:tab w:val="left" w:leader="underscore" w:pos="9223"/>
        </w:tabs>
        <w:spacing w:after="0" w:line="276" w:lineRule="auto"/>
      </w:pPr>
      <w:r>
        <w:t xml:space="preserve">SEDE LEGALE </w:t>
      </w:r>
      <w:r>
        <w:tab/>
      </w:r>
    </w:p>
    <w:p w14:paraId="3F9C71F7" w14:textId="77777777" w:rsidR="005A32CD" w:rsidRDefault="00707FA3" w:rsidP="00B017AD">
      <w:pPr>
        <w:pStyle w:val="Corpotesto"/>
        <w:shd w:val="clear" w:color="auto" w:fill="auto"/>
        <w:tabs>
          <w:tab w:val="left" w:leader="underscore" w:pos="9223"/>
        </w:tabs>
        <w:spacing w:after="300" w:line="276" w:lineRule="auto"/>
      </w:pPr>
      <w:r>
        <w:t xml:space="preserve">SEDE OPERATIVA </w:t>
      </w:r>
      <w:r>
        <w:tab/>
      </w:r>
    </w:p>
    <w:p w14:paraId="6FCCEED6" w14:textId="77777777" w:rsidR="005A32CD" w:rsidRDefault="00707FA3" w:rsidP="00B017AD">
      <w:pPr>
        <w:pStyle w:val="Corpotesto"/>
        <w:shd w:val="clear" w:color="auto" w:fill="auto"/>
        <w:tabs>
          <w:tab w:val="left" w:leader="underscore" w:pos="9254"/>
        </w:tabs>
        <w:spacing w:after="0" w:line="276" w:lineRule="auto"/>
        <w:jc w:val="both"/>
      </w:pPr>
      <w:r>
        <w:t xml:space="preserve">REFERENTE PER L'AMMINISTRAZIONE Sig. </w:t>
      </w:r>
      <w:r>
        <w:tab/>
      </w:r>
    </w:p>
    <w:p w14:paraId="23F38D57" w14:textId="77777777" w:rsidR="005A32CD" w:rsidRDefault="00707FA3" w:rsidP="00B017AD">
      <w:pPr>
        <w:pStyle w:val="Bodytext30"/>
        <w:shd w:val="clear" w:color="auto" w:fill="auto"/>
        <w:tabs>
          <w:tab w:val="left" w:leader="underscore" w:pos="4195"/>
          <w:tab w:val="left" w:leader="underscore" w:pos="9254"/>
        </w:tabs>
        <w:spacing w:after="0" w:line="276" w:lineRule="auto"/>
        <w:jc w:val="both"/>
      </w:pPr>
      <w:r>
        <w:rPr>
          <w:b w:val="0"/>
          <w:bCs w:val="0"/>
        </w:rPr>
        <w:t xml:space="preserve">NUMERO TELEFONO </w:t>
      </w:r>
      <w:r>
        <w:rPr>
          <w:b w:val="0"/>
          <w:bCs w:val="0"/>
        </w:rPr>
        <w:tab/>
        <w:t xml:space="preserve"> E PEC </w:t>
      </w:r>
      <w:r>
        <w:rPr>
          <w:b w:val="0"/>
          <w:bCs w:val="0"/>
        </w:rPr>
        <w:tab/>
      </w:r>
    </w:p>
    <w:p w14:paraId="51821759" w14:textId="77777777" w:rsidR="005A32CD" w:rsidRDefault="00707FA3">
      <w:pPr>
        <w:pStyle w:val="Corpotesto"/>
        <w:shd w:val="clear" w:color="auto" w:fill="auto"/>
        <w:spacing w:after="220"/>
      </w:pPr>
      <w:r>
        <w:lastRenderedPageBreak/>
        <w:t>Soggetti facenti parte dell'assetto societario (Nome, Cognome, codice fiscale):</w:t>
      </w:r>
    </w:p>
    <w:p w14:paraId="06C69BE2" w14:textId="77777777" w:rsidR="005A32CD" w:rsidRDefault="00707FA3">
      <w:pPr>
        <w:pStyle w:val="Corpotesto"/>
        <w:shd w:val="clear" w:color="auto" w:fill="auto"/>
        <w:tabs>
          <w:tab w:val="left" w:leader="underscore" w:pos="8069"/>
        </w:tabs>
        <w:spacing w:after="220"/>
      </w:pPr>
      <w:r>
        <w:t>TITOLARE</w:t>
      </w:r>
      <w:r>
        <w:tab/>
      </w:r>
    </w:p>
    <w:p w14:paraId="0C56EBD2" w14:textId="77777777" w:rsidR="005A32CD" w:rsidRDefault="00707FA3">
      <w:pPr>
        <w:pStyle w:val="Corpotesto"/>
        <w:shd w:val="clear" w:color="auto" w:fill="auto"/>
        <w:tabs>
          <w:tab w:val="left" w:leader="underscore" w:pos="8069"/>
        </w:tabs>
        <w:spacing w:after="220"/>
      </w:pPr>
      <w:r>
        <w:t>DIRETTORE TECNICO</w:t>
      </w:r>
      <w:r>
        <w:tab/>
      </w:r>
    </w:p>
    <w:p w14:paraId="7DA18C09" w14:textId="77777777" w:rsidR="005A32CD" w:rsidRDefault="00707FA3">
      <w:pPr>
        <w:pStyle w:val="Corpotesto"/>
        <w:shd w:val="clear" w:color="auto" w:fill="auto"/>
        <w:tabs>
          <w:tab w:val="left" w:leader="underscore" w:pos="8069"/>
        </w:tabs>
        <w:spacing w:after="220"/>
      </w:pPr>
      <w:r>
        <w:t>SOCIO/SOCIO ACCOMANDATARIO</w:t>
      </w:r>
      <w:r>
        <w:tab/>
      </w:r>
    </w:p>
    <w:p w14:paraId="398630AD" w14:textId="77777777" w:rsidR="005A32CD" w:rsidRDefault="00707FA3">
      <w:pPr>
        <w:pStyle w:val="Corpotesto"/>
        <w:shd w:val="clear" w:color="auto" w:fill="auto"/>
        <w:tabs>
          <w:tab w:val="left" w:leader="underscore" w:pos="8069"/>
        </w:tabs>
        <w:spacing w:after="220"/>
      </w:pPr>
      <w:r>
        <w:t xml:space="preserve">SOCIO UNICO/DI MAGGIORANZA </w:t>
      </w:r>
      <w:r>
        <w:tab/>
      </w:r>
    </w:p>
    <w:p w14:paraId="6C063CFA" w14:textId="77777777" w:rsidR="005A32CD" w:rsidRDefault="00707FA3">
      <w:pPr>
        <w:pStyle w:val="Corpotesto"/>
        <w:shd w:val="clear" w:color="auto" w:fill="auto"/>
        <w:tabs>
          <w:tab w:val="left" w:leader="underscore" w:pos="8323"/>
        </w:tabs>
        <w:spacing w:after="360"/>
      </w:pPr>
      <w:r>
        <w:t>SOCIO MUNITO DI POTERE DI RAPPRESENTANZA</w:t>
      </w:r>
      <w:r>
        <w:tab/>
      </w:r>
    </w:p>
    <w:p w14:paraId="465E44BF" w14:textId="77777777" w:rsidR="005A32CD" w:rsidRDefault="00707FA3">
      <w:pPr>
        <w:pStyle w:val="Corpotesto"/>
        <w:shd w:val="clear" w:color="auto" w:fill="auto"/>
        <w:spacing w:after="259"/>
        <w:rPr>
          <w:sz w:val="26"/>
          <w:szCs w:val="26"/>
        </w:rPr>
      </w:pPr>
      <w:r>
        <w:rPr>
          <w:b/>
          <w:bCs/>
          <w:sz w:val="26"/>
          <w:szCs w:val="26"/>
        </w:rPr>
        <w:t>BARRARE LE CASELLE □ PER CIASCUNA DICHIARAZIONE RESA</w:t>
      </w:r>
    </w:p>
    <w:p w14:paraId="29802C07" w14:textId="77777777"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14:paraId="08BB432A" w14:textId="77777777" w:rsidR="005A32CD" w:rsidRDefault="00707FA3">
      <w:pPr>
        <w:pStyle w:val="Corpotesto"/>
        <w:shd w:val="clear" w:color="auto" w:fill="auto"/>
        <w:spacing w:after="0"/>
      </w:pPr>
      <w:r>
        <w:t>Dichiara:</w:t>
      </w:r>
    </w:p>
    <w:p w14:paraId="130C6A7E" w14:textId="77777777" w:rsidR="005A32CD" w:rsidRDefault="00707FA3" w:rsidP="00B310B9">
      <w:pPr>
        <w:pStyle w:val="Corpotesto"/>
        <w:shd w:val="clear" w:color="auto" w:fill="auto"/>
        <w:spacing w:after="2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14:paraId="5E5E1B25" w14:textId="77777777" w:rsidR="005A32CD" w:rsidRDefault="00707FA3" w:rsidP="00B310B9">
      <w:pPr>
        <w:pStyle w:val="Corpotesto"/>
        <w:shd w:val="clear" w:color="auto" w:fill="auto"/>
        <w:spacing w:after="458"/>
        <w:jc w:val="both"/>
      </w:pPr>
      <w:r>
        <w:t>L'inesistenza di violazioni gravi, definitivamente accertate, alle norme in materia di contribuzione sociale secondo la legislazione italiana o del paese di residenza</w:t>
      </w:r>
      <w:r>
        <w:rPr>
          <w:i/>
          <w:iCs/>
        </w:rPr>
        <w:t>;</w:t>
      </w:r>
    </w:p>
    <w:p w14:paraId="08EECFB8" w14:textId="77777777" w:rsidR="009C451E" w:rsidRDefault="009C451E" w:rsidP="009C451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CAUSE DI ESCLUSIONE AUTOMATICA, CAUSE DI ESCLUSIONE NON AUTOMATICA E REQUISITI DI ORDINE SPECIALE </w:t>
      </w:r>
    </w:p>
    <w:p w14:paraId="34BD241F" w14:textId="77777777" w:rsidR="009C451E" w:rsidRDefault="009C451E" w:rsidP="009C451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(IDONEITÀ PROFESSIONALE-CAPACITA’ ECONOMICA E FINANZIARIA-CAPACITA’ TECNICHE E PROFESSIONALI)</w:t>
      </w:r>
    </w:p>
    <w:p w14:paraId="166A39E4" w14:textId="4CA36DEE" w:rsidR="009C451E" w:rsidRDefault="009C451E" w:rsidP="009C451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 ARTT. 94, 95 E 100 D.LGS. 36/2023 (Codice dei contratti pubblici)</w:t>
      </w:r>
    </w:p>
    <w:p w14:paraId="6D6D0B61" w14:textId="77777777" w:rsidR="009C451E" w:rsidRDefault="009C451E" w:rsidP="009C451E">
      <w:pPr>
        <w:autoSpaceDE w:val="0"/>
        <w:autoSpaceDN w:val="0"/>
        <w:adjustRightInd w:val="0"/>
        <w:jc w:val="center"/>
        <w:rPr>
          <w:rFonts w:ascii="TimesNewRoman,Bold" w:hAnsi="TimesNewRoman,Bold" w:cs="TimesNewRoman,Bold"/>
          <w:b/>
          <w:bCs/>
        </w:rPr>
      </w:pPr>
    </w:p>
    <w:p w14:paraId="3E18AC7D" w14:textId="77777777" w:rsidR="009C451E" w:rsidRDefault="009C451E" w:rsidP="00B310B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 xml:space="preserve">Art. 94 Codice dei contratti pubblici – Cause di esclusione automatica - comma 1 </w:t>
      </w:r>
    </w:p>
    <w:p w14:paraId="79DA27E8" w14:textId="77777777" w:rsidR="00B310B9" w:rsidRDefault="00B310B9" w:rsidP="009C451E">
      <w:pPr>
        <w:autoSpaceDE w:val="0"/>
        <w:autoSpaceDN w:val="0"/>
        <w:adjustRightInd w:val="0"/>
        <w:rPr>
          <w:rFonts w:ascii="TimesNewRoman,Bold" w:hAnsi="TimesNewRoman,Bold" w:cs="TimesNewRoman,Bold"/>
          <w:b/>
          <w:bCs/>
        </w:rPr>
      </w:pPr>
    </w:p>
    <w:p w14:paraId="7F63486A" w14:textId="7410A862" w:rsidR="009C451E" w:rsidRDefault="009C451E" w:rsidP="009C451E">
      <w:pPr>
        <w:autoSpaceDE w:val="0"/>
        <w:autoSpaceDN w:val="0"/>
        <w:adjustRightInd w:val="0"/>
        <w:rPr>
          <w:rFonts w:ascii="TimesNewRoman,Bold" w:hAnsi="TimesNewRoman,Bold" w:cs="TimesNewRoman,Bold"/>
          <w:b/>
          <w:bCs/>
        </w:rPr>
      </w:pPr>
      <w:r>
        <w:rPr>
          <w:rFonts w:ascii="TimesNewRoman,Bold" w:hAnsi="TimesNewRoman,Bold" w:cs="TimesNewRoman,Bold"/>
          <w:b/>
          <w:bCs/>
        </w:rPr>
        <w:t>Dichiara:</w:t>
      </w:r>
    </w:p>
    <w:p w14:paraId="46D4FF4C" w14:textId="1CDBC1AE" w:rsidR="009C451E" w:rsidRDefault="009C451E" w:rsidP="009C451E">
      <w:pPr>
        <w:autoSpaceDE w:val="0"/>
        <w:autoSpaceDN w:val="0"/>
        <w:adjustRightInd w:val="0"/>
        <w:rPr>
          <w:rFonts w:ascii="TimesNewRoman,Bold" w:hAnsi="TimesNewRoman,Bold" w:cs="TimesNewRoman,Bold"/>
          <w:b/>
          <w:bCs/>
        </w:rPr>
      </w:pPr>
      <w:r>
        <w:rPr>
          <w:rFonts w:ascii="TimesNewRoman" w:hAnsi="TimesNewRoman" w:cs="TimesNewRoman"/>
          <w:sz w:val="44"/>
          <w:szCs w:val="44"/>
        </w:rPr>
        <w:t xml:space="preserve">□ </w:t>
      </w:r>
      <w:r>
        <w:rPr>
          <w:rFonts w:ascii="TimesNewRoman,Bold" w:hAnsi="TimesNewRoman,Bold" w:cs="TimesNewRoman,Bold"/>
          <w:b/>
          <w:bCs/>
        </w:rPr>
        <w:t>Di non aver riportato condanna con sentenza definitiva o decreto penale di condanna divenuto irrevocabile per uno dei seguenti reati:</w:t>
      </w:r>
    </w:p>
    <w:p w14:paraId="3B76AFEE" w14:textId="77777777" w:rsidR="009C451E" w:rsidRDefault="009C451E">
      <w:pPr>
        <w:pStyle w:val="Corpotesto"/>
        <w:shd w:val="clear" w:color="auto" w:fill="auto"/>
        <w:spacing w:after="220"/>
      </w:pPr>
    </w:p>
    <w:p w14:paraId="672BC922" w14:textId="77777777" w:rsidR="005A32CD" w:rsidRDefault="00707FA3">
      <w:pPr>
        <w:pStyle w:val="Corpotesto"/>
        <w:shd w:val="clear" w:color="auto" w:fill="auto"/>
        <w:spacing w:after="0"/>
        <w:jc w:val="both"/>
      </w:pPr>
      <w:r>
        <w:t>Dichiara:</w:t>
      </w:r>
    </w:p>
    <w:p w14:paraId="2F01886C" w14:textId="76D9841F" w:rsidR="00B017AD" w:rsidRDefault="00B017AD" w:rsidP="00B017AD">
      <w:pPr>
        <w:autoSpaceDE w:val="0"/>
        <w:autoSpaceDN w:val="0"/>
        <w:adjustRightInd w:val="0"/>
        <w:ind w:left="851" w:hanging="851"/>
        <w:jc w:val="both"/>
        <w:rPr>
          <w:rFonts w:ascii="TimesNewRoman" w:hAnsi="TimesNewRoman" w:cs="TimesNewRoman"/>
        </w:rPr>
      </w:pPr>
      <w:r w:rsidRPr="00B017AD">
        <w:rPr>
          <w:sz w:val="40"/>
          <w:szCs w:val="40"/>
        </w:rPr>
        <w:t xml:space="preserve">□ </w:t>
      </w:r>
      <w:r w:rsidRPr="00B017AD">
        <w:t xml:space="preserve">A) </w:t>
      </w:r>
      <w:r w:rsidRPr="00B017AD">
        <w:rPr>
          <w:rFonts w:ascii="TimesNewRoman" w:hAnsi="TimesNewRoman" w:cs="TimesNewRoman"/>
        </w:rPr>
        <w:t>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n.309, dall'articolo 291-quater del testo unico delle disposizioni legislative in materia doganale, di cui al decreto del Presidente della Repubblica 23 gennaio 1973, n.43 e dall’articolo 452-quaterdieces del codice penale, in quanto riconducibili alla partecipazione a un'organizzazione criminale, quale definita all'articolo 2 della decisione quadro 2008/841/gai del Consiglio dell’Unione Europea, del 24 ottobre 2008;</w:t>
      </w:r>
    </w:p>
    <w:p w14:paraId="5FF2AEC1" w14:textId="77777777" w:rsidR="008559FA" w:rsidRDefault="00707FA3" w:rsidP="008559FA">
      <w:pPr>
        <w:pStyle w:val="Corpotesto"/>
        <w:shd w:val="clear" w:color="auto" w:fill="auto"/>
        <w:spacing w:after="120" w:line="206" w:lineRule="auto"/>
        <w:ind w:left="720" w:hanging="720"/>
        <w:jc w:val="both"/>
      </w:pPr>
      <w:r>
        <w:rPr>
          <w:sz w:val="40"/>
          <w:szCs w:val="40"/>
        </w:rPr>
        <w:lastRenderedPageBreak/>
        <w:t xml:space="preserve">□ </w:t>
      </w:r>
      <w:r>
        <w:t>B) delitti, consumati o tentati, di cui agli</w:t>
      </w:r>
      <w:hyperlink r:id="rId10" w:history="1">
        <w:r>
          <w:t xml:space="preserve"> articoli 317, 318, 319, 319-ter, 319-quater, 320,</w:t>
        </w:r>
      </w:hyperlink>
      <w:r>
        <w:t xml:space="preserve"> </w:t>
      </w:r>
      <w:hyperlink r:id="rId11" w:history="1">
        <w:r>
          <w:t>321, 322, 322-bis,</w:t>
        </w:r>
      </w:hyperlink>
      <w:hyperlink r:id="rId12" w:history="1">
        <w:r>
          <w:t xml:space="preserve"> 346-bis,</w:t>
        </w:r>
      </w:hyperlink>
      <w:hyperlink r:id="rId13" w:history="1">
        <w:r>
          <w:t xml:space="preserve"> 353, 353-bis, 354, 355 e 356 del codice penale </w:t>
        </w:r>
      </w:hyperlink>
      <w:r>
        <w:t>nonché all</w:t>
      </w:r>
      <w:hyperlink r:id="rId14" w:history="1">
        <w:r>
          <w:t>'articolo 2635 del codice civile;</w:t>
        </w:r>
      </w:hyperlink>
    </w:p>
    <w:p w14:paraId="184337A6" w14:textId="425FC66E" w:rsidR="005A32CD" w:rsidRDefault="00707FA3" w:rsidP="008559FA">
      <w:pPr>
        <w:pStyle w:val="Corpotesto"/>
        <w:shd w:val="clear" w:color="auto" w:fill="auto"/>
        <w:spacing w:after="120" w:line="206" w:lineRule="auto"/>
        <w:ind w:left="720" w:hanging="720"/>
        <w:jc w:val="both"/>
      </w:pPr>
      <w:r>
        <w:rPr>
          <w:sz w:val="40"/>
          <w:szCs w:val="40"/>
        </w:rPr>
        <w:t xml:space="preserve">□ </w:t>
      </w:r>
      <w:r w:rsidR="008559FA">
        <w:t>C)</w:t>
      </w:r>
      <w:r>
        <w:rPr>
          <w:sz w:val="19"/>
          <w:szCs w:val="19"/>
        </w:rPr>
        <w:t xml:space="preserve"> </w:t>
      </w:r>
      <w:r>
        <w:t xml:space="preserve">false comunicazioni sociali di cui agli articoli 2621 e 2622 del </w:t>
      </w:r>
      <w:r w:rsidR="00B017AD">
        <w:t>Codice civile</w:t>
      </w:r>
      <w:r>
        <w:t>;</w:t>
      </w:r>
    </w:p>
    <w:p w14:paraId="65BAA88E" w14:textId="0F563793" w:rsidR="005A32CD" w:rsidRDefault="00707FA3">
      <w:pPr>
        <w:pStyle w:val="Corpotesto"/>
        <w:shd w:val="clear" w:color="auto" w:fill="auto"/>
        <w:spacing w:line="204" w:lineRule="auto"/>
        <w:ind w:left="720" w:hanging="720"/>
        <w:jc w:val="both"/>
      </w:pPr>
      <w:r>
        <w:rPr>
          <w:sz w:val="40"/>
          <w:szCs w:val="40"/>
        </w:rPr>
        <w:t xml:space="preserve">□ </w:t>
      </w:r>
      <w:r w:rsidR="008559FA">
        <w:t>D</w:t>
      </w:r>
      <w:r>
        <w:t>) frode ai sensi dell'articolo 1 della convenzione relativa alla tutela degli interessi finanziari delle Comunità europee;</w:t>
      </w:r>
    </w:p>
    <w:p w14:paraId="44E133D7" w14:textId="5932C4B8" w:rsidR="005A32CD" w:rsidRDefault="00707FA3">
      <w:pPr>
        <w:pStyle w:val="Corpotesto"/>
        <w:shd w:val="clear" w:color="auto" w:fill="auto"/>
        <w:spacing w:line="206" w:lineRule="auto"/>
        <w:ind w:left="720" w:hanging="720"/>
        <w:jc w:val="both"/>
      </w:pPr>
      <w:r>
        <w:rPr>
          <w:sz w:val="40"/>
          <w:szCs w:val="40"/>
        </w:rPr>
        <w:t xml:space="preserve">□ </w:t>
      </w:r>
      <w:r w:rsidR="008559FA">
        <w:t>E</w:t>
      </w:r>
      <w:r>
        <w:t>) delitti, consumati o tentati, commessi con finalità di terrorismo, anche internazionale, e di eversione dell'ordine costituzionale reati terroristici o reati connessi alle attività terroristiche;</w:t>
      </w:r>
    </w:p>
    <w:p w14:paraId="0E8E9A4C" w14:textId="39F519A9" w:rsidR="005A32CD" w:rsidRDefault="00707FA3">
      <w:pPr>
        <w:pStyle w:val="Corpotesto"/>
        <w:shd w:val="clear" w:color="auto" w:fill="auto"/>
        <w:spacing w:line="209" w:lineRule="auto"/>
        <w:ind w:left="720" w:hanging="720"/>
        <w:jc w:val="both"/>
      </w:pPr>
      <w:r>
        <w:rPr>
          <w:sz w:val="40"/>
          <w:szCs w:val="40"/>
        </w:rPr>
        <w:t xml:space="preserve">□ </w:t>
      </w:r>
      <w:r w:rsidR="008559FA">
        <w:t>F</w:t>
      </w:r>
      <w:r>
        <w:t>) delitti di cui agli</w:t>
      </w:r>
      <w:hyperlink r:id="rId15" w:history="1">
        <w:r>
          <w:t xml:space="preserve"> articoli 648-bis, 648-ter e 648-ter.1 del codice penale,</w:t>
        </w:r>
      </w:hyperlink>
      <w:r>
        <w:t xml:space="preserve"> riciclaggio di proventi di attività criminose o finanziamento del terrorismo, quali definiti all</w:t>
      </w:r>
      <w:hyperlink r:id="rId16" w:history="1">
        <w:r>
          <w:t>'articolo 1</w:t>
        </w:r>
      </w:hyperlink>
      <w:r>
        <w:t xml:space="preserve"> </w:t>
      </w:r>
      <w:hyperlink r:id="rId17" w:history="1">
        <w:r>
          <w:t xml:space="preserve">del decreto legislativo 22 giugno 2007, n. 109 </w:t>
        </w:r>
      </w:hyperlink>
      <w:r>
        <w:t>e successive modificazioni;</w:t>
      </w:r>
    </w:p>
    <w:p w14:paraId="0FC20B43" w14:textId="3AF5B298" w:rsidR="005A32CD" w:rsidRDefault="00707FA3">
      <w:pPr>
        <w:pStyle w:val="Corpotesto"/>
        <w:shd w:val="clear" w:color="auto" w:fill="auto"/>
        <w:spacing w:line="204" w:lineRule="auto"/>
        <w:ind w:left="720" w:hanging="720"/>
        <w:jc w:val="both"/>
      </w:pPr>
      <w:r>
        <w:rPr>
          <w:sz w:val="40"/>
          <w:szCs w:val="40"/>
        </w:rPr>
        <w:t xml:space="preserve">□ </w:t>
      </w:r>
      <w:r w:rsidR="008559FA">
        <w:t>G</w:t>
      </w:r>
      <w:r>
        <w:t>) sfruttamento del lavoro minorile e altre forme di tratta di esseri umani definite con il decreto legislativo 4 marzo 2014, n. 24;</w:t>
      </w:r>
    </w:p>
    <w:p w14:paraId="2236BEEA" w14:textId="3F13C64B" w:rsidR="005A32CD" w:rsidRPr="00320236" w:rsidRDefault="00B13281">
      <w:pPr>
        <w:pStyle w:val="Corpotesto"/>
        <w:shd w:val="clear" w:color="auto" w:fill="auto"/>
        <w:spacing w:after="520" w:line="197" w:lineRule="auto"/>
        <w:ind w:left="720" w:hanging="720"/>
        <w:jc w:val="both"/>
        <w:rPr>
          <w:strike/>
        </w:rPr>
      </w:pPr>
      <w:r>
        <w:rPr>
          <w:sz w:val="40"/>
          <w:szCs w:val="40"/>
        </w:rPr>
        <w:t xml:space="preserve">□ </w:t>
      </w:r>
      <w:r w:rsidR="008559FA">
        <w:t>H</w:t>
      </w:r>
      <w:r>
        <w:t xml:space="preserve">) </w:t>
      </w:r>
      <w:r w:rsidR="00707FA3">
        <w:t>ogni altro delitto da cui derivi, quale pena accessoria, l'incapacità di contrattare con la pubblica amministrazione;</w:t>
      </w:r>
    </w:p>
    <w:p w14:paraId="2946EBFA" w14:textId="6341993F" w:rsidR="005A32CD" w:rsidRDefault="00707FA3">
      <w:pPr>
        <w:pStyle w:val="Corpotesto"/>
        <w:shd w:val="clear" w:color="auto" w:fill="auto"/>
        <w:spacing w:after="0"/>
        <w:jc w:val="both"/>
      </w:pPr>
      <w:r>
        <w:rPr>
          <w:b/>
          <w:bCs/>
        </w:rPr>
        <w:t xml:space="preserve">Art </w:t>
      </w:r>
      <w:r w:rsidR="00752A21">
        <w:rPr>
          <w:b/>
          <w:bCs/>
        </w:rPr>
        <w:t>94</w:t>
      </w:r>
      <w:r>
        <w:rPr>
          <w:b/>
          <w:bCs/>
        </w:rPr>
        <w:t xml:space="preserve"> Codice </w:t>
      </w:r>
      <w:r w:rsidR="00B13281">
        <w:rPr>
          <w:b/>
          <w:bCs/>
        </w:rPr>
        <w:t xml:space="preserve">dei contratti pubblici </w:t>
      </w:r>
      <w:r>
        <w:rPr>
          <w:b/>
          <w:bCs/>
        </w:rPr>
        <w:t>- Requisiti di ordine generale - comma 2</w:t>
      </w:r>
    </w:p>
    <w:p w14:paraId="20D7AEEA" w14:textId="77777777" w:rsidR="005A32CD" w:rsidRDefault="00707FA3">
      <w:pPr>
        <w:pStyle w:val="Corpotesto"/>
        <w:shd w:val="clear" w:color="auto" w:fill="auto"/>
        <w:jc w:val="both"/>
      </w:pPr>
      <w:r>
        <w:rPr>
          <w:b/>
          <w:bCs/>
        </w:rPr>
        <w:t>Dichiara:</w:t>
      </w:r>
    </w:p>
    <w:p w14:paraId="6521E9A6" w14:textId="7E95B07F" w:rsidR="00320236" w:rsidRDefault="00707FA3" w:rsidP="00320236">
      <w:pPr>
        <w:autoSpaceDE w:val="0"/>
        <w:autoSpaceDN w:val="0"/>
        <w:adjustRightInd w:val="0"/>
        <w:jc w:val="both"/>
        <w:rPr>
          <w:rFonts w:ascii="TimesNewRoman" w:hAnsi="TimesNewRoman" w:cs="TimesNewRoman"/>
        </w:rPr>
      </w:pPr>
      <w:r>
        <w:rPr>
          <w:sz w:val="44"/>
          <w:szCs w:val="44"/>
        </w:rPr>
        <w:t xml:space="preserve">□ </w:t>
      </w:r>
      <w:r w:rsidRPr="00320236">
        <w:rPr>
          <w:rFonts w:ascii="TimesNewRoman" w:hAnsi="TimesNewRoman" w:cs="TimesNewRoman"/>
        </w:rPr>
        <w:t>che non vi sono di cause di decadenza, di sospensione o di divieto previste dal</w:t>
      </w:r>
      <w:hyperlink r:id="rId18" w:history="1">
        <w:r w:rsidRPr="00320236">
          <w:rPr>
            <w:rFonts w:ascii="TimesNewRoman" w:hAnsi="TimesNewRoman" w:cs="TimesNewRoman"/>
          </w:rPr>
          <w:t>l'articolo 67</w:t>
        </w:r>
      </w:hyperlink>
      <w:r w:rsidRPr="00320236">
        <w:rPr>
          <w:rFonts w:ascii="TimesNewRoman" w:hAnsi="TimesNewRoman" w:cs="TimesNewRoman"/>
        </w:rPr>
        <w:t xml:space="preserve"> </w:t>
      </w:r>
      <w:hyperlink r:id="rId19" w:history="1">
        <w:r w:rsidRPr="00320236">
          <w:rPr>
            <w:rFonts w:ascii="TimesNewRoman" w:hAnsi="TimesNewRoman" w:cs="TimesNewRoman"/>
          </w:rPr>
          <w:t xml:space="preserve">del decreto legislativo 6 settembre 2011, n. 159 </w:t>
        </w:r>
      </w:hyperlink>
      <w:r w:rsidRPr="00320236">
        <w:rPr>
          <w:rFonts w:ascii="TimesNewRoman" w:hAnsi="TimesNewRoman" w:cs="TimesNewRoman"/>
        </w:rPr>
        <w:t>o di un tentativo di infiltrazione mafiosa di cui all</w:t>
      </w:r>
      <w:hyperlink r:id="rId20" w:history="1">
        <w:r w:rsidRPr="00320236">
          <w:rPr>
            <w:rFonts w:ascii="TimesNewRoman" w:hAnsi="TimesNewRoman" w:cs="TimesNewRoman"/>
          </w:rPr>
          <w:t>'articolo 84, comma 4, del medesimo decreto.</w:t>
        </w:r>
      </w:hyperlink>
      <w:r w:rsidRPr="00320236">
        <w:rPr>
          <w:rFonts w:ascii="TimesNewRoman" w:hAnsi="TimesNewRoman" w:cs="TimesNewRoman"/>
        </w:rPr>
        <w:t xml:space="preserve"> Resta fermo quanto previsto dagli</w:t>
      </w:r>
      <w:hyperlink r:id="rId21" w:history="1">
        <w:r w:rsidRPr="00320236">
          <w:rPr>
            <w:rFonts w:ascii="TimesNewRoman" w:hAnsi="TimesNewRoman" w:cs="TimesNewRoman"/>
          </w:rPr>
          <w:t xml:space="preserve"> articoli 88,</w:t>
        </w:r>
      </w:hyperlink>
      <w:r w:rsidRPr="00320236">
        <w:rPr>
          <w:rFonts w:ascii="TimesNewRoman" w:hAnsi="TimesNewRoman" w:cs="TimesNewRoman"/>
        </w:rPr>
        <w:t xml:space="preserve"> </w:t>
      </w:r>
      <w:hyperlink r:id="rId22" w:history="1">
        <w:r w:rsidRPr="00320236">
          <w:rPr>
            <w:rFonts w:ascii="TimesNewRoman" w:hAnsi="TimesNewRoman" w:cs="TimesNewRoman"/>
          </w:rPr>
          <w:t>comma 4-bis,</w:t>
        </w:r>
      </w:hyperlink>
      <w:r w:rsidRPr="00320236">
        <w:rPr>
          <w:rFonts w:ascii="TimesNewRoman" w:hAnsi="TimesNewRoman" w:cs="TimesNewRoman"/>
        </w:rPr>
        <w:t xml:space="preserve"> e</w:t>
      </w:r>
      <w:hyperlink r:id="rId23" w:history="1">
        <w:r w:rsidRPr="00320236">
          <w:rPr>
            <w:rFonts w:ascii="TimesNewRoman" w:hAnsi="TimesNewRoman" w:cs="TimesNewRoman"/>
          </w:rPr>
          <w:t xml:space="preserve"> 92, commi 2 e 3, del decreto legislativo 6 settembre 2011, n. 159,</w:t>
        </w:r>
      </w:hyperlink>
      <w:r w:rsidRPr="00320236">
        <w:rPr>
          <w:rFonts w:ascii="TimesNewRoman" w:hAnsi="TimesNewRoman" w:cs="TimesNewRoman"/>
        </w:rPr>
        <w:t xml:space="preserve"> con riferimento rispettivamente alle comunicazioni antimafia e alle informazioni antimafia.</w:t>
      </w:r>
      <w:r w:rsidR="00320236" w:rsidRPr="00320236">
        <w:rPr>
          <w:rFonts w:ascii="TimesNewRoman" w:hAnsi="TimesNewRoman" w:cs="TimesNewRoman"/>
        </w:rPr>
        <w:t xml:space="preserve"> </w:t>
      </w:r>
      <w:r w:rsidR="00320236">
        <w:rPr>
          <w:rFonts w:ascii="TimesNewRoman" w:hAnsi="TimesNewRoman" w:cs="TimesNewRoman"/>
        </w:rPr>
        <w:t>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0D5DF95D" w14:textId="5E26A524" w:rsidR="005A32CD" w:rsidRDefault="005A32CD">
      <w:pPr>
        <w:pStyle w:val="Corpotesto"/>
        <w:shd w:val="clear" w:color="auto" w:fill="auto"/>
        <w:spacing w:after="200" w:line="211" w:lineRule="auto"/>
        <w:jc w:val="both"/>
      </w:pPr>
    </w:p>
    <w:p w14:paraId="6C9ABC67" w14:textId="77777777" w:rsidR="00320236" w:rsidRDefault="00320236" w:rsidP="00320236">
      <w:pPr>
        <w:autoSpaceDE w:val="0"/>
        <w:autoSpaceDN w:val="0"/>
        <w:adjustRightInd w:val="0"/>
        <w:rPr>
          <w:rFonts w:ascii="TimesNewRoman,Bold" w:hAnsi="TimesNewRoman,Bold" w:cs="TimesNewRoman,Bold"/>
          <w:b/>
          <w:bCs/>
        </w:rPr>
      </w:pPr>
      <w:r>
        <w:rPr>
          <w:rFonts w:ascii="TimesNewRoman,Bold" w:hAnsi="TimesNewRoman,Bold" w:cs="TimesNewRoman,Bold"/>
          <w:b/>
          <w:bCs/>
        </w:rPr>
        <w:t>Art. 94 Codice dei contratti pubblici - Cause di esclusione automatica - Comma 3</w:t>
      </w:r>
    </w:p>
    <w:p w14:paraId="52CFFDA5" w14:textId="77777777" w:rsidR="00320236" w:rsidRDefault="00320236" w:rsidP="00320236">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L'esclusione di cui ai commi 1 e 2 è disposta se la sentenza o il decreto oppure la misura interdittiva ivi indicati sono stati emessi nei confronti:</w:t>
      </w:r>
    </w:p>
    <w:p w14:paraId="10427631" w14:textId="673FF426"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dell'operatore economico ai sensi e nei termini di cui al decreto legislativo 8 giugno 2001, n. 231;</w:t>
      </w:r>
    </w:p>
    <w:p w14:paraId="60BCE1B5" w14:textId="38572821"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 titolare o del direttore tecnico, se si tratta di impresa individuale;</w:t>
      </w:r>
    </w:p>
    <w:p w14:paraId="492BC787" w14:textId="6381A54D"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di un socio amministratore o del direttore tecnico, se si tratta di società in nome collettivo;</w:t>
      </w:r>
    </w:p>
    <w:p w14:paraId="2F9259AA" w14:textId="2D854D4D"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dei soci accomandatari o del direttore tecnico, se si tratta di società in accomandita semplice;</w:t>
      </w:r>
    </w:p>
    <w:p w14:paraId="73555A64" w14:textId="770FC252"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dei membri del consiglio di amministrazione cui sia stata conferita la legale rappresentanza, ivi compresi gli institori e i procuratori generali;</w:t>
      </w:r>
    </w:p>
    <w:p w14:paraId="2C79AA30" w14:textId="12772FDB"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dei componenti degli organi con poteri di direzione o di vigilanza o dei soggetti muniti di poteri di rappresentanza, di direzione o di controllo;</w:t>
      </w:r>
    </w:p>
    <w:p w14:paraId="5282B0A7" w14:textId="01485702"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 direttore tecnico o del socio unico;</w:t>
      </w:r>
    </w:p>
    <w:p w14:paraId="7ABFDFDD" w14:textId="19F2A628" w:rsidR="00320236" w:rsidRPr="00320236" w:rsidRDefault="00320236" w:rsidP="00320236">
      <w:pPr>
        <w:pStyle w:val="Paragrafoelenco"/>
        <w:numPr>
          <w:ilvl w:val="0"/>
          <w:numId w:val="5"/>
        </w:numPr>
        <w:autoSpaceDE w:val="0"/>
        <w:autoSpaceDN w:val="0"/>
        <w:adjustRightInd w:val="0"/>
        <w:ind w:left="567" w:hanging="567"/>
        <w:rPr>
          <w:rFonts w:ascii="TimesNewRoman,Italic" w:hAnsi="TimesNewRoman,Italic" w:cs="TimesNewRoman,Italic"/>
          <w:i/>
          <w:iCs/>
        </w:rPr>
      </w:pPr>
      <w:r w:rsidRPr="00320236">
        <w:rPr>
          <w:rFonts w:ascii="TimesNewRoman,Italic" w:hAnsi="TimesNewRoman,Italic" w:cs="TimesNewRoman,Italic"/>
          <w:i/>
          <w:iCs/>
        </w:rPr>
        <w:t>dell'amministratore di fatto nelle ipotesi di cui alle lettere precedenti.</w:t>
      </w:r>
    </w:p>
    <w:p w14:paraId="10501ED6" w14:textId="77777777" w:rsidR="00C77D8B" w:rsidRDefault="00C77D8B">
      <w:pPr>
        <w:pStyle w:val="Corpotesto"/>
        <w:shd w:val="clear" w:color="auto" w:fill="auto"/>
        <w:jc w:val="both"/>
        <w:rPr>
          <w:b/>
          <w:bCs/>
          <w:u w:val="single"/>
        </w:rPr>
      </w:pPr>
    </w:p>
    <w:p w14:paraId="2706DBBC" w14:textId="7A5B015C" w:rsidR="005A32CD" w:rsidRDefault="00707FA3">
      <w:pPr>
        <w:pStyle w:val="Corpotesto"/>
        <w:shd w:val="clear" w:color="auto" w:fill="auto"/>
        <w:jc w:val="both"/>
      </w:pPr>
      <w:r w:rsidRPr="00EA021E">
        <w:rPr>
          <w:b/>
          <w:bCs/>
          <w:u w:val="single"/>
        </w:rPr>
        <w:t>IMPORTANTE</w:t>
      </w:r>
      <w:r>
        <w:rPr>
          <w:b/>
          <w:bCs/>
        </w:rPr>
        <w:t>: Le dichiarazioni di cui all'art</w:t>
      </w:r>
      <w:r w:rsidR="00320236">
        <w:rPr>
          <w:rFonts w:ascii="TimesNewRoman,Bold" w:hAnsi="TimesNewRoman,Bold" w:cs="TimesNewRoman,Bold"/>
          <w:b/>
          <w:bCs/>
        </w:rPr>
        <w:t xml:space="preserve">. 94, comma 1 e 2, del </w:t>
      </w:r>
      <w:r w:rsidR="00C77D8B">
        <w:rPr>
          <w:rFonts w:ascii="TimesNewRoman,Bold" w:hAnsi="TimesNewRoman,Bold" w:cs="TimesNewRoman,Bold"/>
          <w:b/>
          <w:bCs/>
        </w:rPr>
        <w:t>D.lgs.</w:t>
      </w:r>
      <w:r w:rsidR="00320236">
        <w:rPr>
          <w:rFonts w:ascii="TimesNewRoman,Bold" w:hAnsi="TimesNewRoman,Bold" w:cs="TimesNewRoman,Bold"/>
          <w:b/>
          <w:bCs/>
        </w:rPr>
        <w:t xml:space="preserve"> n. 36/2023 </w:t>
      </w:r>
      <w:r>
        <w:rPr>
          <w:b/>
          <w:bCs/>
        </w:rPr>
        <w:t xml:space="preserve">devono essere rese, pertanto, anche dai soggetti facenti parte dell'assetto societario, previsti </w:t>
      </w:r>
      <w:r>
        <w:rPr>
          <w:b/>
          <w:bCs/>
        </w:rPr>
        <w:lastRenderedPageBreak/>
        <w:t>nel comma 3.</w:t>
      </w:r>
    </w:p>
    <w:p w14:paraId="4D287571" w14:textId="760EDBBD" w:rsidR="005A32CD" w:rsidRDefault="00707FA3">
      <w:pPr>
        <w:pStyle w:val="Corpotesto"/>
        <w:shd w:val="clear" w:color="auto" w:fill="auto"/>
        <w:spacing w:after="0"/>
        <w:jc w:val="both"/>
      </w:pPr>
      <w:r>
        <w:rPr>
          <w:b/>
          <w:bCs/>
        </w:rPr>
        <w:t xml:space="preserve">Art </w:t>
      </w:r>
      <w:r w:rsidR="00320236">
        <w:rPr>
          <w:b/>
          <w:bCs/>
        </w:rPr>
        <w:t>94</w:t>
      </w:r>
      <w:r>
        <w:rPr>
          <w:b/>
          <w:bCs/>
        </w:rPr>
        <w:t xml:space="preserve"> Codice degli appalti - Requisiti di ordine generale - comma </w:t>
      </w:r>
      <w:r w:rsidR="00C77D8B">
        <w:rPr>
          <w:b/>
          <w:bCs/>
        </w:rPr>
        <w:t>5</w:t>
      </w:r>
    </w:p>
    <w:p w14:paraId="242E4818" w14:textId="77777777" w:rsidR="005A32CD" w:rsidRDefault="00707FA3">
      <w:pPr>
        <w:pStyle w:val="Corpotesto"/>
        <w:shd w:val="clear" w:color="auto" w:fill="auto"/>
        <w:jc w:val="both"/>
      </w:pPr>
      <w:r>
        <w:rPr>
          <w:b/>
          <w:bCs/>
        </w:rPr>
        <w:t>Dichiara:</w:t>
      </w:r>
    </w:p>
    <w:p w14:paraId="26332A51" w14:textId="3DE6D06E"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sidR="00707FA3" w:rsidRPr="00C77D8B">
        <w:rPr>
          <w:rFonts w:ascii="Wingdings" w:hAnsi="Wingdings" w:cs="Wingdings"/>
          <w:sz w:val="28"/>
          <w:szCs w:val="28"/>
        </w:rPr>
        <w:t></w:t>
      </w:r>
      <w:r>
        <w:rPr>
          <w:rFonts w:ascii="TimesNewRoman" w:hAnsi="TimesNewRoman" w:cs="TimesNewRoman"/>
        </w:rPr>
        <w:t>di non trovarsi nelle condizioni di incapacità a contrattare con la Pubblica Amministrazione di cui all’art. 9 comma 2, lett. c) del D.lgs. 8 giugno 2001, n. 231 compresi i provvedimenti interdittivi di cui all’art.14, c.1, del D.lgs. n.81/2008 e ss. mm. ii.;</w:t>
      </w:r>
    </w:p>
    <w:p w14:paraId="13EB3766"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Pr>
          <w:rFonts w:ascii="Wingdings" w:hAnsi="Wingdings" w:cs="Wingdings"/>
          <w:sz w:val="28"/>
          <w:szCs w:val="28"/>
        </w:rPr>
        <w:t></w:t>
      </w:r>
      <w:r>
        <w:rPr>
          <w:rFonts w:ascii="TimesNewRoman" w:hAnsi="TimesNewRoman" w:cs="TimesNewRoman"/>
        </w:rPr>
        <w:t>di essere in regola con le norme che disciplinano il diritto al lavoro dei disabili ai sensi della Legge 12 marzo 1999, n.68;</w:t>
      </w:r>
    </w:p>
    <w:p w14:paraId="41B912F4"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Pr>
          <w:rFonts w:ascii="Wingdings" w:hAnsi="Wingdings" w:cs="Wingdings"/>
          <w:sz w:val="28"/>
          <w:szCs w:val="28"/>
        </w:rPr>
        <w:t></w:t>
      </w:r>
      <w:r>
        <w:rPr>
          <w:rFonts w:ascii="TimesNewRoman" w:hAnsi="TimesNewRoman" w:cs="TimesNewRoman"/>
        </w:rPr>
        <w:t>di essere in regola con le norme che disciplinano 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in relazione alla redazione del rapporto sulla situazione del personale, ai sensi dell'articolo 46 del codice delle pari opportunità tra uomo e donna, di cui al decreto legislativo 11 aprile 2006, n. 198;</w:t>
      </w:r>
    </w:p>
    <w:p w14:paraId="7418FEBE"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Pr>
          <w:rFonts w:ascii="Wingdings" w:hAnsi="Wingdings" w:cs="Wingdings"/>
          <w:sz w:val="28"/>
          <w:szCs w:val="28"/>
        </w:rPr>
        <w:t></w:t>
      </w:r>
      <w:r>
        <w:rPr>
          <w:rFonts w:ascii="TimesNewRoman" w:hAnsi="TimesNewRoman" w:cs="TimesNewRoman"/>
        </w:rPr>
        <w:t>di non essere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14:paraId="7DF1B2A2"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Pr>
          <w:rFonts w:ascii="Wingdings" w:hAnsi="Wingdings" w:cs="Wingdings"/>
          <w:sz w:val="28"/>
          <w:szCs w:val="28"/>
        </w:rPr>
        <w:t></w:t>
      </w:r>
      <w:r>
        <w:rPr>
          <w:rFonts w:ascii="TimesNewRoman" w:hAnsi="TimesNewRoman" w:cs="TimesNewRoman"/>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3C5EFB8B"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sz w:val="28"/>
          <w:szCs w:val="28"/>
        </w:rPr>
        <w:t></w:t>
      </w:r>
      <w:r>
        <w:rPr>
          <w:rFonts w:ascii="Wingdings" w:hAnsi="Wingdings" w:cs="Wingdings"/>
          <w:sz w:val="28"/>
          <w:szCs w:val="28"/>
        </w:rPr>
        <w:t></w:t>
      </w:r>
      <w:r>
        <w:rPr>
          <w:rFonts w:ascii="TimesNewRoman" w:hAnsi="TimesNewRoman" w:cs="TimesNewRoman"/>
        </w:rPr>
        <w:t>di non essere iscritto nel casellario informatico tenuto dall'ANAC per aver presentato false dichiarazioni o falsa documentazione ai fini del rilascio dell'attestazione di qualificazione, per il periodo durante il quale perdura l'iscrizione.</w:t>
      </w:r>
    </w:p>
    <w:p w14:paraId="0366813E" w14:textId="77777777" w:rsidR="00B310B9" w:rsidRDefault="00B310B9" w:rsidP="00C77D8B">
      <w:pPr>
        <w:autoSpaceDE w:val="0"/>
        <w:autoSpaceDN w:val="0"/>
        <w:adjustRightInd w:val="0"/>
        <w:jc w:val="both"/>
        <w:rPr>
          <w:rFonts w:ascii="TimesNewRoman" w:hAnsi="TimesNewRoman" w:cs="TimesNewRoman"/>
        </w:rPr>
      </w:pPr>
    </w:p>
    <w:p w14:paraId="22E4E5BB" w14:textId="77777777" w:rsidR="00C77D8B" w:rsidRDefault="00C77D8B" w:rsidP="00C77D8B">
      <w:pPr>
        <w:autoSpaceDE w:val="0"/>
        <w:autoSpaceDN w:val="0"/>
        <w:adjustRightInd w:val="0"/>
        <w:jc w:val="both"/>
        <w:rPr>
          <w:rFonts w:ascii="TimesNewRoman,Bold" w:hAnsi="TimesNewRoman,Bold" w:cs="TimesNewRoman,Bold"/>
          <w:b/>
          <w:bCs/>
        </w:rPr>
      </w:pPr>
      <w:r>
        <w:rPr>
          <w:rFonts w:ascii="TimesNewRoman,Bold" w:hAnsi="TimesNewRoman,Bold" w:cs="TimesNewRoman,Bold"/>
          <w:b/>
          <w:bCs/>
        </w:rPr>
        <w:t>Art 94 Codice dei contratti pubblici - Cause di esclusione automatica - comma 6</w:t>
      </w:r>
    </w:p>
    <w:p w14:paraId="424DEF6E" w14:textId="77777777" w:rsidR="00C77D8B" w:rsidRDefault="00C77D8B" w:rsidP="00C77D8B">
      <w:pPr>
        <w:autoSpaceDE w:val="0"/>
        <w:autoSpaceDN w:val="0"/>
        <w:adjustRightInd w:val="0"/>
        <w:jc w:val="both"/>
        <w:rPr>
          <w:rFonts w:ascii="TimesNewRoman,Bold" w:hAnsi="TimesNewRoman,Bold" w:cs="TimesNewRoman,Bold"/>
          <w:b/>
          <w:bCs/>
        </w:rPr>
      </w:pPr>
      <w:r>
        <w:rPr>
          <w:rFonts w:ascii="TimesNewRoman,Bold" w:hAnsi="TimesNewRoman,Bold" w:cs="TimesNewRoman,Bold"/>
          <w:b/>
          <w:bCs/>
        </w:rPr>
        <w:t>Dichiara:</w:t>
      </w:r>
    </w:p>
    <w:p w14:paraId="42E72727" w14:textId="77777777" w:rsidR="00C77D8B" w:rsidRDefault="00C77D8B" w:rsidP="00C77D8B">
      <w:pPr>
        <w:autoSpaceDE w:val="0"/>
        <w:autoSpaceDN w:val="0"/>
        <w:adjustRightInd w:val="0"/>
        <w:jc w:val="both"/>
        <w:rPr>
          <w:rFonts w:ascii="TimesNewRoman" w:hAnsi="TimesNewRoman" w:cs="TimesNewRoman"/>
        </w:rPr>
      </w:pPr>
      <w:r>
        <w:rPr>
          <w:rFonts w:ascii="Wingdings" w:hAnsi="Wingdings" w:cs="Wingdings"/>
        </w:rPr>
        <w:t></w:t>
      </w:r>
      <w:r>
        <w:rPr>
          <w:rFonts w:ascii="Wingdings" w:hAnsi="Wingdings" w:cs="Wingdings"/>
        </w:rPr>
        <w:t></w:t>
      </w:r>
      <w:r>
        <w:rPr>
          <w:rFonts w:ascii="TimesNewRoman" w:hAnsi="TimesNewRoman" w:cs="TimesNewRoman"/>
        </w:rPr>
        <w:t>di non aver commesso violazioni gravi, definitivamente accertate, rispetto agli obblighi relativi al pagamento delle imposte e tasse o dei contributi previdenziali, secondo la legislazione italiana o quella dello Stato in cui sono stabiliti.</w:t>
      </w:r>
    </w:p>
    <w:p w14:paraId="38D5D4FE" w14:textId="77777777" w:rsidR="00C77D8B" w:rsidRDefault="00C77D8B" w:rsidP="00C77D8B">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Costituiscono gravi violazioni definitivamente accertate quelle indicate nell'allegato II.10.</w:t>
      </w:r>
    </w:p>
    <w:p w14:paraId="7E58D53C" w14:textId="77777777" w:rsidR="00C77D8B" w:rsidRDefault="00C77D8B" w:rsidP="00C77D8B">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7B4C42DB" w14:textId="77777777" w:rsidR="00CD28F0" w:rsidRDefault="00CD28F0" w:rsidP="00C77D8B">
      <w:pPr>
        <w:autoSpaceDE w:val="0"/>
        <w:autoSpaceDN w:val="0"/>
        <w:adjustRightInd w:val="0"/>
        <w:jc w:val="both"/>
        <w:rPr>
          <w:rFonts w:ascii="TimesNewRoman,Italic" w:hAnsi="TimesNewRoman,Italic" w:cs="TimesNewRoman,Italic"/>
          <w:i/>
          <w:iCs/>
        </w:rPr>
      </w:pPr>
    </w:p>
    <w:p w14:paraId="7789BFC7" w14:textId="2340AE2C" w:rsidR="00CD28F0" w:rsidRDefault="00CD28F0" w:rsidP="00B310B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Art</w:t>
      </w:r>
      <w:r w:rsidR="00B310B9">
        <w:rPr>
          <w:rFonts w:ascii="TimesNewRoman,Bold" w:hAnsi="TimesNewRoman,Bold" w:cs="TimesNewRoman,Bold"/>
          <w:b/>
          <w:bCs/>
        </w:rPr>
        <w:t>.</w:t>
      </w:r>
      <w:r>
        <w:rPr>
          <w:rFonts w:ascii="TimesNewRoman,Bold" w:hAnsi="TimesNewRoman,Bold" w:cs="TimesNewRoman,Bold"/>
          <w:b/>
          <w:bCs/>
        </w:rPr>
        <w:t xml:space="preserve"> 95 Codice dei contratti pubblici - Cause di esclusione non automatica - comma 1</w:t>
      </w:r>
    </w:p>
    <w:p w14:paraId="7A8F3125" w14:textId="77777777" w:rsidR="00CD28F0" w:rsidRDefault="00CD28F0" w:rsidP="00CD28F0">
      <w:pPr>
        <w:autoSpaceDE w:val="0"/>
        <w:autoSpaceDN w:val="0"/>
        <w:adjustRightInd w:val="0"/>
        <w:rPr>
          <w:rFonts w:ascii="TimesNewRoman,Bold" w:hAnsi="TimesNewRoman,Bold" w:cs="TimesNewRoman,Bold"/>
          <w:b/>
          <w:bCs/>
        </w:rPr>
      </w:pPr>
      <w:r>
        <w:rPr>
          <w:rFonts w:ascii="TimesNewRoman,Bold" w:hAnsi="TimesNewRoman,Bold" w:cs="TimesNewRoman,Bold"/>
          <w:b/>
          <w:bCs/>
        </w:rPr>
        <w:t>Dichiara:</w:t>
      </w:r>
    </w:p>
    <w:p w14:paraId="625D6262" w14:textId="77777777" w:rsidR="00CD28F0" w:rsidRDefault="00CD28F0" w:rsidP="00CD28F0">
      <w:pPr>
        <w:autoSpaceDE w:val="0"/>
        <w:autoSpaceDN w:val="0"/>
        <w:adjustRightInd w:val="0"/>
        <w:rPr>
          <w:rFonts w:ascii="TimesNewRoman" w:hAnsi="TimesNewRoman" w:cs="TimesNewRoman"/>
        </w:rPr>
      </w:pPr>
      <w:r>
        <w:rPr>
          <w:rFonts w:ascii="TimesNewRoman" w:hAnsi="TimesNewRoman" w:cs="TimesNewRoman"/>
          <w:sz w:val="44"/>
          <w:szCs w:val="44"/>
        </w:rPr>
        <w:t xml:space="preserve">□ </w:t>
      </w:r>
      <w:r>
        <w:rPr>
          <w:rFonts w:ascii="TimesNewRoman" w:hAnsi="TimesNewRoman" w:cs="TimesNewRoman"/>
        </w:rPr>
        <w:t>di non trovarsi nelle seguenti situazioni:</w:t>
      </w:r>
    </w:p>
    <w:p w14:paraId="339432E0"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a) di non aver commesso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57709D15"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lastRenderedPageBreak/>
        <w:t>b) di non aver determinato, con la partecipazione alla gara, una situazione di conflitto di interesse di cui all’articolo 16 non diversamente risolvibile;</w:t>
      </w:r>
    </w:p>
    <w:p w14:paraId="16470313"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c) di non aver determinato una distorsione della concorrenza derivante dal precedente coinvolgimento degli operatori economici nella preparazione della procedura d'appalto che non possa essere risolta con misure meno intrusive;</w:t>
      </w:r>
    </w:p>
    <w:p w14:paraId="3D4DBE94"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d) di non aver presentato un’offerta riconducibile ad un unico centro decisionale a cagione di accordi intercorsi con altri operatori economici partecipanti alla stessa gara;</w:t>
      </w:r>
    </w:p>
    <w:p w14:paraId="6A9502F6" w14:textId="77777777" w:rsidR="00CD28F0" w:rsidRDefault="00CD28F0" w:rsidP="00CD28F0">
      <w:pPr>
        <w:autoSpaceDE w:val="0"/>
        <w:autoSpaceDN w:val="0"/>
        <w:adjustRightInd w:val="0"/>
        <w:jc w:val="both"/>
        <w:rPr>
          <w:rFonts w:ascii="TimesNewRoman" w:hAnsi="TimesNewRoman" w:cs="TimesNewRoman"/>
        </w:rPr>
      </w:pPr>
      <w:r>
        <w:rPr>
          <w:rFonts w:ascii="TimesNewRoman" w:hAnsi="TimesNewRoman" w:cs="TimesNewRoman"/>
        </w:rPr>
        <w:t>e) di non aver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73B9D2DE" w14:textId="77777777" w:rsidR="00CD28F0" w:rsidRDefault="00CD28F0" w:rsidP="00C77D8B">
      <w:pPr>
        <w:autoSpaceDE w:val="0"/>
        <w:autoSpaceDN w:val="0"/>
        <w:adjustRightInd w:val="0"/>
        <w:jc w:val="both"/>
        <w:rPr>
          <w:rFonts w:ascii="TimesNewRoman,Italic" w:hAnsi="TimesNewRoman,Italic" w:cs="TimesNewRoman,Italic"/>
          <w:i/>
          <w:iCs/>
        </w:rPr>
      </w:pPr>
    </w:p>
    <w:p w14:paraId="202511D1" w14:textId="77777777" w:rsidR="00CD28F0" w:rsidRDefault="00CD28F0" w:rsidP="00CD28F0">
      <w:pPr>
        <w:autoSpaceDE w:val="0"/>
        <w:autoSpaceDN w:val="0"/>
        <w:adjustRightInd w:val="0"/>
        <w:jc w:val="both"/>
        <w:rPr>
          <w:rFonts w:ascii="TimesNewRoman,BoldItalic" w:hAnsi="TimesNewRoman,BoldItalic" w:cs="TimesNewRoman,BoldItalic"/>
          <w:b/>
          <w:bCs/>
          <w:i/>
          <w:iCs/>
        </w:rPr>
      </w:pPr>
      <w:r>
        <w:rPr>
          <w:rFonts w:ascii="TimesNewRoman,BoldItalic" w:hAnsi="TimesNewRoman,BoldItalic" w:cs="TimesNewRoman,BoldItalic"/>
          <w:b/>
          <w:bCs/>
          <w:i/>
          <w:iCs/>
        </w:rPr>
        <w:t>La stazione appaltante esclude altresì un operatore economico qualora ritenga che lo stesso abbia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 (comma 2 dell’art.95 D.lgs. 36/2023).</w:t>
      </w:r>
    </w:p>
    <w:p w14:paraId="49295398" w14:textId="77777777" w:rsidR="00CD28F0" w:rsidRDefault="00CD28F0" w:rsidP="00CD28F0">
      <w:pPr>
        <w:autoSpaceDE w:val="0"/>
        <w:autoSpaceDN w:val="0"/>
        <w:adjustRightInd w:val="0"/>
        <w:jc w:val="both"/>
        <w:rPr>
          <w:rFonts w:ascii="TimesNewRoman,BoldItalic" w:hAnsi="TimesNewRoman,BoldItalic" w:cs="TimesNewRoman,BoldItalic"/>
          <w:b/>
          <w:bCs/>
          <w:i/>
          <w:iCs/>
        </w:rPr>
      </w:pPr>
      <w:r>
        <w:rPr>
          <w:rFonts w:ascii="TimesNewRoman,BoldItalic" w:hAnsi="TimesNewRoman,BoldItalic" w:cs="TimesNewRoman,BoldItalic"/>
          <w:b/>
          <w:bCs/>
          <w:i/>
          <w:iCs/>
        </w:rPr>
        <w:t>Saranno considerate le ipotesi previste al comma 3 dell’art.95 del Codice dei contratti.</w:t>
      </w:r>
    </w:p>
    <w:p w14:paraId="13351C42" w14:textId="77777777" w:rsidR="00CD28F0" w:rsidRDefault="00CD28F0" w:rsidP="00C77D8B">
      <w:pPr>
        <w:autoSpaceDE w:val="0"/>
        <w:autoSpaceDN w:val="0"/>
        <w:adjustRightInd w:val="0"/>
        <w:jc w:val="both"/>
        <w:rPr>
          <w:rFonts w:ascii="TimesNewRoman,Italic" w:hAnsi="TimesNewRoman,Italic" w:cs="TimesNewRoman,Italic"/>
          <w:i/>
          <w:iCs/>
        </w:rPr>
      </w:pPr>
    </w:p>
    <w:p w14:paraId="2F6AE953" w14:textId="77777777" w:rsidR="00CD28F0" w:rsidRDefault="00CD28F0" w:rsidP="00CD28F0">
      <w:pPr>
        <w:autoSpaceDE w:val="0"/>
        <w:autoSpaceDN w:val="0"/>
        <w:adjustRightInd w:val="0"/>
        <w:rPr>
          <w:rFonts w:ascii="Tahoma,Bold" w:hAnsi="Tahoma,Bold" w:cs="Tahoma,Bold"/>
          <w:b/>
          <w:bCs/>
          <w:sz w:val="20"/>
          <w:szCs w:val="20"/>
        </w:rPr>
      </w:pPr>
      <w:r>
        <w:rPr>
          <w:rFonts w:ascii="TimesNewRoman,Bold" w:hAnsi="TimesNewRoman,Bold" w:cs="TimesNewRoman,Bold"/>
          <w:b/>
          <w:bCs/>
        </w:rPr>
        <w:t xml:space="preserve">Art. 100, comma 1, lettera a) - </w:t>
      </w:r>
      <w:r>
        <w:rPr>
          <w:rFonts w:ascii="Tahoma,Bold" w:hAnsi="Tahoma,Bold" w:cs="Tahoma,Bold"/>
          <w:b/>
          <w:bCs/>
          <w:sz w:val="20"/>
          <w:szCs w:val="20"/>
        </w:rPr>
        <w:t>Requisiti di idoneità professionale</w:t>
      </w:r>
    </w:p>
    <w:p w14:paraId="10106B45" w14:textId="77777777" w:rsidR="00CD28F0" w:rsidRDefault="00CD28F0">
      <w:pPr>
        <w:pStyle w:val="Corpotesto"/>
        <w:shd w:val="clear" w:color="auto" w:fill="auto"/>
        <w:spacing w:after="160"/>
        <w:jc w:val="center"/>
        <w:rPr>
          <w:b/>
          <w:bCs/>
        </w:rPr>
      </w:pPr>
    </w:p>
    <w:p w14:paraId="21A45450" w14:textId="08D9369A" w:rsidR="005A32CD" w:rsidRDefault="00707FA3">
      <w:pPr>
        <w:pStyle w:val="Corpotesto"/>
        <w:shd w:val="clear" w:color="auto" w:fill="auto"/>
        <w:spacing w:after="160"/>
        <w:jc w:val="center"/>
      </w:pPr>
      <w:r>
        <w:rPr>
          <w:b/>
          <w:bCs/>
        </w:rPr>
        <w:t>Dichiara:</w:t>
      </w:r>
    </w:p>
    <w:p w14:paraId="01C79761" w14:textId="07DB12F1" w:rsidR="00F94F5E"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r w:rsidR="00F94F5E" w:rsidRPr="00F94F5E">
        <w:rPr>
          <w:smallCaps w:val="0"/>
          <w:sz w:val="26"/>
          <w:szCs w:val="26"/>
        </w:rPr>
        <w:t>CAPACITÀ ECONOMICA E FINANZIARIA</w:t>
      </w:r>
      <w:bookmarkEnd w:id="1"/>
      <w:bookmarkEnd w:id="2"/>
    </w:p>
    <w:p w14:paraId="259E489F" w14:textId="610708CD" w:rsidR="005A32CD" w:rsidRDefault="00F94F5E" w:rsidP="00F94F5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center"/>
      </w:pPr>
      <w:r>
        <w:rPr>
          <w:rFonts w:ascii="TimesNewRoman,Bold" w:hAnsi="TimesNewRoman,Bold" w:cs="TimesNewRoman,Bold"/>
          <w:sz w:val="24"/>
          <w:szCs w:val="24"/>
        </w:rPr>
        <w:t>Art. 100, comma 1, lettera b) del Codice dei contratti pubblici</w:t>
      </w:r>
    </w:p>
    <w:p w14:paraId="01187B59" w14:textId="77777777" w:rsidR="00B310B9" w:rsidRDefault="00B310B9" w:rsidP="00F94F5E">
      <w:pPr>
        <w:pStyle w:val="Corpotesto"/>
        <w:shd w:val="clear" w:color="auto" w:fill="auto"/>
        <w:spacing w:after="494"/>
        <w:jc w:val="both"/>
      </w:pPr>
    </w:p>
    <w:p w14:paraId="01D3C9D7" w14:textId="6EBC48D2"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 xml:space="preserve">t </w:t>
      </w:r>
      <w:r w:rsidR="00F94F5E">
        <w:rPr>
          <w:b/>
          <w:bCs/>
        </w:rPr>
        <w:t>100</w:t>
      </w:r>
      <w:r w:rsidR="00B13281">
        <w:rPr>
          <w:b/>
          <w:bCs/>
        </w:rPr>
        <w:t xml:space="preserve"> comma 1 lettera c) Codice dei contratti pubblici</w:t>
      </w:r>
    </w:p>
    <w:p w14:paraId="43BC135A" w14:textId="77777777" w:rsidR="00EA021E" w:rsidRDefault="00EA021E">
      <w:pPr>
        <w:pStyle w:val="Corpotesto"/>
        <w:shd w:val="clear" w:color="auto" w:fill="auto"/>
        <w:spacing w:after="169"/>
        <w:jc w:val="both"/>
      </w:pPr>
    </w:p>
    <w:p w14:paraId="213F3D9D" w14:textId="77777777"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14:paraId="122B6251" w14:textId="77777777" w:rsidR="005A32CD" w:rsidRDefault="00707FA3">
      <w:pPr>
        <w:pStyle w:val="Corpotesto"/>
        <w:shd w:val="clear" w:color="auto" w:fill="auto"/>
        <w:spacing w:after="240"/>
        <w:jc w:val="center"/>
        <w:rPr>
          <w:sz w:val="26"/>
          <w:szCs w:val="26"/>
        </w:rPr>
      </w:pPr>
      <w:r>
        <w:rPr>
          <w:sz w:val="26"/>
          <w:szCs w:val="26"/>
        </w:rPr>
        <w:t>DICHIARA</w:t>
      </w:r>
    </w:p>
    <w:p w14:paraId="25676C55" w14:textId="77777777" w:rsidR="005A32CD" w:rsidRDefault="00707FA3">
      <w:pPr>
        <w:pStyle w:val="Corpotesto"/>
        <w:shd w:val="clear" w:color="auto" w:fill="auto"/>
        <w:spacing w:line="264" w:lineRule="auto"/>
        <w:jc w:val="center"/>
      </w:pPr>
      <w:r>
        <w:rPr>
          <w:b/>
          <w:bCs/>
        </w:rPr>
        <w:t>ai sensi dell'articolo 47 del D.P.R. n. 445/2000</w:t>
      </w:r>
    </w:p>
    <w:p w14:paraId="0BB3C77B" w14:textId="77777777"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14:paraId="0AF881EB" w14:textId="77777777"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14:paraId="7A9CCBBD" w14:textId="77777777" w:rsidR="005A32CD" w:rsidRDefault="00707FA3">
      <w:pPr>
        <w:pStyle w:val="Corpotesto"/>
        <w:shd w:val="clear" w:color="auto" w:fill="auto"/>
        <w:spacing w:line="197" w:lineRule="auto"/>
        <w:jc w:val="both"/>
        <w:rPr>
          <w:sz w:val="26"/>
          <w:szCs w:val="26"/>
        </w:rPr>
      </w:pPr>
      <w:r>
        <w:rPr>
          <w:sz w:val="44"/>
          <w:szCs w:val="44"/>
        </w:rPr>
        <w:lastRenderedPageBreak/>
        <w:t xml:space="preserve">□ </w:t>
      </w:r>
      <w:r>
        <w:rPr>
          <w:sz w:val="26"/>
          <w:szCs w:val="26"/>
        </w:rPr>
        <w:t>di non essere componente di altro Consorzio o alcuna altra RTI, partecipante alla gara;</w:t>
      </w:r>
    </w:p>
    <w:p w14:paraId="6C411AC7" w14:textId="77777777"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14:paraId="18AD2DB8" w14:textId="77777777"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14:paraId="46BFB533" w14:textId="77777777"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14:paraId="439738B3" w14:textId="77777777"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14:paraId="1B66F655" w14:textId="77777777"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5804E369" w14:textId="77777777"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14:paraId="4E950664" w14:textId="77777777"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14:paraId="4622FC99" w14:textId="77777777"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14:paraId="4741645B" w14:textId="77777777"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14:paraId="32B3CAAE" w14:textId="77777777"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 xml:space="preserve">di avere presa esatta conoscenza della natura dell'appalto e di tutte le norme particolari </w:t>
      </w:r>
      <w:r>
        <w:rPr>
          <w:sz w:val="26"/>
          <w:szCs w:val="26"/>
        </w:rPr>
        <w:lastRenderedPageBreak/>
        <w:t>e generali che regolano l'appalto e che possono avere influito sulla determinazione dell'offerta;</w:t>
      </w:r>
    </w:p>
    <w:p w14:paraId="367343F6" w14:textId="77777777"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14:paraId="7F030A88" w14:textId="77777777"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14:paraId="57C890EB" w14:textId="77777777"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r>
        <w:rPr>
          <w:sz w:val="26"/>
          <w:szCs w:val="26"/>
        </w:rPr>
        <w:t>D.Lgs.</w:t>
      </w:r>
      <w:proofErr w:type="spellEnd"/>
      <w:r>
        <w:rPr>
          <w:sz w:val="26"/>
          <w:szCs w:val="26"/>
        </w:rPr>
        <w:t xml:space="preserve"> 196/2003, connessi alla procedura di gara, di aggiudicazione e di stipula;</w:t>
      </w:r>
    </w:p>
    <w:p w14:paraId="446C7092" w14:textId="77777777"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14:paraId="0F276BC8" w14:textId="77777777" w:rsidR="005A32CD" w:rsidRDefault="00707FA3">
      <w:pPr>
        <w:pStyle w:val="Corpotesto"/>
        <w:shd w:val="clear" w:color="auto" w:fill="auto"/>
        <w:spacing w:after="0"/>
        <w:jc w:val="both"/>
        <w:rPr>
          <w:sz w:val="26"/>
          <w:szCs w:val="26"/>
        </w:rPr>
      </w:pPr>
      <w:r>
        <w:rPr>
          <w:sz w:val="26"/>
          <w:szCs w:val="26"/>
        </w:rPr>
        <w:t>TIMBRO DELL'IMPRESA/SOCIETA'</w:t>
      </w:r>
    </w:p>
    <w:p w14:paraId="765E89DB" w14:textId="77777777" w:rsidR="005A32CD" w:rsidRDefault="00707FA3">
      <w:pPr>
        <w:pStyle w:val="Corpotesto"/>
        <w:shd w:val="clear" w:color="auto" w:fill="auto"/>
        <w:spacing w:after="600"/>
        <w:jc w:val="both"/>
        <w:rPr>
          <w:sz w:val="26"/>
          <w:szCs w:val="26"/>
        </w:rPr>
      </w:pPr>
      <w:r>
        <w:rPr>
          <w:sz w:val="26"/>
          <w:szCs w:val="26"/>
        </w:rPr>
        <w:t>FIRMA DEL LEGALE RAPPRESENTANTE</w:t>
      </w:r>
    </w:p>
    <w:p w14:paraId="23DB8B39" w14:textId="77777777"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14:paraId="3878DC81" w14:textId="77777777"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14:paraId="0FB00FB1" w14:textId="77777777"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7F3E" w14:textId="77777777" w:rsidR="00E276EE" w:rsidRDefault="00E276EE">
      <w:r>
        <w:separator/>
      </w:r>
    </w:p>
  </w:endnote>
  <w:endnote w:type="continuationSeparator" w:id="0">
    <w:p w14:paraId="54BD1743" w14:textId="77777777" w:rsidR="00E276EE" w:rsidRDefault="00E2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62F3" w14:textId="77777777"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14:anchorId="13A8A02C" wp14:editId="47158024">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14:paraId="12E79167" w14:textId="77777777" w:rsidR="005A32CD" w:rsidRDefault="00707FA3">
                          <w:pPr>
                            <w:pStyle w:val="Headerorfooter20"/>
                            <w:shd w:val="clear" w:color="auto" w:fill="auto"/>
                          </w:pPr>
                          <w:r>
                            <w:fldChar w:fldCharType="begin"/>
                          </w:r>
                          <w:r>
                            <w:instrText xml:space="preserve"> PAGE \* MERGEFORMAT </w:instrText>
                          </w:r>
                          <w:r>
                            <w:fldChar w:fldCharType="separate"/>
                          </w:r>
                          <w:r w:rsidR="00B310B9">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14:paraId="12E79167" w14:textId="77777777" w:rsidR="005A32CD" w:rsidRDefault="00707FA3">
                    <w:pPr>
                      <w:pStyle w:val="Headerorfooter20"/>
                      <w:shd w:val="clear" w:color="auto" w:fill="auto"/>
                    </w:pPr>
                    <w:r>
                      <w:fldChar w:fldCharType="begin"/>
                    </w:r>
                    <w:r>
                      <w:instrText xml:space="preserve"> PAGE \* MERGEFORMAT </w:instrText>
                    </w:r>
                    <w:r>
                      <w:fldChar w:fldCharType="separate"/>
                    </w:r>
                    <w:r w:rsidR="00B310B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CD645" w14:textId="77777777" w:rsidR="00E276EE" w:rsidRDefault="00E276EE"/>
  </w:footnote>
  <w:footnote w:type="continuationSeparator" w:id="0">
    <w:p w14:paraId="02BC505B" w14:textId="77777777" w:rsidR="00E276EE" w:rsidRDefault="00E27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7586" w14:textId="77777777"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14:anchorId="0D3F6C84" wp14:editId="5532A9CA">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14:paraId="2635B5E1" w14:textId="6090900C" w:rsidR="005A32CD" w:rsidRDefault="005F5BA2">
                          <w:pPr>
                            <w:pStyle w:val="Headerorfooter20"/>
                            <w:shd w:val="clear" w:color="auto" w:fill="auto"/>
                            <w:rPr>
                              <w:sz w:val="28"/>
                              <w:szCs w:val="28"/>
                            </w:rPr>
                          </w:pPr>
                          <w:r>
                            <w:rPr>
                              <w:b/>
                              <w:bCs/>
                              <w:sz w:val="28"/>
                              <w:szCs w:val="28"/>
                              <w:u w:val="single"/>
                            </w:rPr>
                            <w:t>Allegato 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75.85pt;margin-top:26.9pt;width:76.3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" filled="f" stroked="f">
              <v:textbox style="mso-fit-shape-to-text:t" inset="0,0,0,0">
                <w:txbxContent>
                  <w:p w14:paraId="2635B5E1" w14:textId="6090900C" w:rsidR="005A32CD" w:rsidRDefault="005F5BA2">
                    <w:pPr>
                      <w:pStyle w:val="Headerorfooter20"/>
                      <w:shd w:val="clear" w:color="auto" w:fill="auto"/>
                      <w:rPr>
                        <w:sz w:val="28"/>
                        <w:szCs w:val="28"/>
                      </w:rPr>
                    </w:pPr>
                    <w:r>
                      <w:rPr>
                        <w:b/>
                        <w:bCs/>
                        <w:sz w:val="28"/>
                        <w:szCs w:val="28"/>
                        <w:u w:val="single"/>
                      </w:rPr>
                      <w:t>Allegato 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719E0"/>
    <w:multiLevelType w:val="hybridMultilevel"/>
    <w:tmpl w:val="A92EC396"/>
    <w:lvl w:ilvl="0" w:tplc="0A7A26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28059F"/>
    <w:multiLevelType w:val="hybridMultilevel"/>
    <w:tmpl w:val="2AE27C8C"/>
    <w:lvl w:ilvl="0" w:tplc="04100003">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3A65B1"/>
    <w:multiLevelType w:val="hybridMultilevel"/>
    <w:tmpl w:val="19F2C9A0"/>
    <w:lvl w:ilvl="0" w:tplc="04100003">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CD"/>
    <w:rsid w:val="000D3DC0"/>
    <w:rsid w:val="000F0824"/>
    <w:rsid w:val="001122DC"/>
    <w:rsid w:val="00115058"/>
    <w:rsid w:val="001E0E8B"/>
    <w:rsid w:val="00220694"/>
    <w:rsid w:val="00292923"/>
    <w:rsid w:val="002A6E5B"/>
    <w:rsid w:val="00320236"/>
    <w:rsid w:val="003B05A0"/>
    <w:rsid w:val="003B77F2"/>
    <w:rsid w:val="003E162F"/>
    <w:rsid w:val="00451A4F"/>
    <w:rsid w:val="005A32CD"/>
    <w:rsid w:val="005E203E"/>
    <w:rsid w:val="005F5BA2"/>
    <w:rsid w:val="00617049"/>
    <w:rsid w:val="00707FA3"/>
    <w:rsid w:val="00752A21"/>
    <w:rsid w:val="007F2CAE"/>
    <w:rsid w:val="008069BA"/>
    <w:rsid w:val="008559FA"/>
    <w:rsid w:val="00882BFB"/>
    <w:rsid w:val="00961DB2"/>
    <w:rsid w:val="009C451E"/>
    <w:rsid w:val="00B017AD"/>
    <w:rsid w:val="00B13281"/>
    <w:rsid w:val="00B310B9"/>
    <w:rsid w:val="00BB2AC8"/>
    <w:rsid w:val="00C77D8B"/>
    <w:rsid w:val="00CD28F0"/>
    <w:rsid w:val="00D8710B"/>
    <w:rsid w:val="00E2366C"/>
    <w:rsid w:val="00E276EE"/>
    <w:rsid w:val="00EA021E"/>
    <w:rsid w:val="00F63C3B"/>
    <w:rsid w:val="00F9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paragraph" w:styleId="Paragrafoelenco">
    <w:name w:val="List Paragraph"/>
    <w:basedOn w:val="Normale"/>
    <w:uiPriority w:val="34"/>
    <w:qFormat/>
    <w:rsid w:val="00320236"/>
    <w:pPr>
      <w:ind w:left="720"/>
      <w:contextualSpacing/>
    </w:pPr>
  </w:style>
  <w:style w:type="paragraph" w:styleId="Intestazione">
    <w:name w:val="header"/>
    <w:basedOn w:val="Normale"/>
    <w:link w:val="IntestazioneCarattere"/>
    <w:uiPriority w:val="99"/>
    <w:unhideWhenUsed/>
    <w:rsid w:val="005F5BA2"/>
    <w:pPr>
      <w:tabs>
        <w:tab w:val="center" w:pos="4819"/>
        <w:tab w:val="right" w:pos="9638"/>
      </w:tabs>
    </w:pPr>
  </w:style>
  <w:style w:type="character" w:customStyle="1" w:styleId="IntestazioneCarattere">
    <w:name w:val="Intestazione Carattere"/>
    <w:basedOn w:val="Carpredefinitoparagrafo"/>
    <w:link w:val="Intestazione"/>
    <w:uiPriority w:val="99"/>
    <w:rsid w:val="005F5BA2"/>
    <w:rPr>
      <w:color w:val="000000"/>
    </w:rPr>
  </w:style>
  <w:style w:type="paragraph" w:styleId="Pidipagina">
    <w:name w:val="footer"/>
    <w:basedOn w:val="Normale"/>
    <w:link w:val="PidipaginaCarattere"/>
    <w:uiPriority w:val="99"/>
    <w:unhideWhenUsed/>
    <w:rsid w:val="005F5BA2"/>
    <w:pPr>
      <w:tabs>
        <w:tab w:val="center" w:pos="4819"/>
        <w:tab w:val="right" w:pos="9638"/>
      </w:tabs>
    </w:pPr>
  </w:style>
  <w:style w:type="character" w:customStyle="1" w:styleId="PidipaginaCarattere">
    <w:name w:val="Piè di pagina Carattere"/>
    <w:basedOn w:val="Carpredefinitoparagrafo"/>
    <w:link w:val="Pidipagina"/>
    <w:uiPriority w:val="99"/>
    <w:rsid w:val="005F5BA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paragraph" w:styleId="Paragrafoelenco">
    <w:name w:val="List Paragraph"/>
    <w:basedOn w:val="Normale"/>
    <w:uiPriority w:val="34"/>
    <w:qFormat/>
    <w:rsid w:val="00320236"/>
    <w:pPr>
      <w:ind w:left="720"/>
      <w:contextualSpacing/>
    </w:pPr>
  </w:style>
  <w:style w:type="paragraph" w:styleId="Intestazione">
    <w:name w:val="header"/>
    <w:basedOn w:val="Normale"/>
    <w:link w:val="IntestazioneCarattere"/>
    <w:uiPriority w:val="99"/>
    <w:unhideWhenUsed/>
    <w:rsid w:val="005F5BA2"/>
    <w:pPr>
      <w:tabs>
        <w:tab w:val="center" w:pos="4819"/>
        <w:tab w:val="right" w:pos="9638"/>
      </w:tabs>
    </w:pPr>
  </w:style>
  <w:style w:type="character" w:customStyle="1" w:styleId="IntestazioneCarattere">
    <w:name w:val="Intestazione Carattere"/>
    <w:basedOn w:val="Carpredefinitoparagrafo"/>
    <w:link w:val="Intestazione"/>
    <w:uiPriority w:val="99"/>
    <w:rsid w:val="005F5BA2"/>
    <w:rPr>
      <w:color w:val="000000"/>
    </w:rPr>
  </w:style>
  <w:style w:type="paragraph" w:styleId="Pidipagina">
    <w:name w:val="footer"/>
    <w:basedOn w:val="Normale"/>
    <w:link w:val="PidipaginaCarattere"/>
    <w:uiPriority w:val="99"/>
    <w:unhideWhenUsed/>
    <w:rsid w:val="005F5BA2"/>
    <w:pPr>
      <w:tabs>
        <w:tab w:val="center" w:pos="4819"/>
        <w:tab w:val="right" w:pos="9638"/>
      </w:tabs>
    </w:pPr>
  </w:style>
  <w:style w:type="character" w:customStyle="1" w:styleId="PidipaginaCarattere">
    <w:name w:val="Piè di pagina Carattere"/>
    <w:basedOn w:val="Carpredefinitoparagrafo"/>
    <w:link w:val="Pidipagina"/>
    <w:uiPriority w:val="99"/>
    <w:rsid w:val="005F5B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codicepenale.htm%23353" TargetMode="External"/><Relationship Id="rId18" Type="http://schemas.openxmlformats.org/officeDocument/2006/relationships/hyperlink" Target="http://www.bosettiegatti.eu/info/norme/2011_0159.htm%23067" TargetMode="External"/><Relationship Id="rId3" Type="http://schemas.microsoft.com/office/2007/relationships/stylesWithEffects" Target="stylesWithEffects.xml"/><Relationship Id="rId21" Type="http://schemas.openxmlformats.org/officeDocument/2006/relationships/hyperlink" Target="http://www.bosettiegatti.eu/info/norme/2011_0159.htm%23088" TargetMode="External"/><Relationship Id="rId7" Type="http://schemas.openxmlformats.org/officeDocument/2006/relationships/endnotes" Target="endnotes.xml"/><Relationship Id="rId12" Type="http://schemas.openxmlformats.org/officeDocument/2006/relationships/hyperlink" Target="http://www.bosettiegatti.eu/info/norme/codicepenale.htm%23346-bis" TargetMode="External"/><Relationship Id="rId17" Type="http://schemas.openxmlformats.org/officeDocument/2006/relationships/hyperlink" Target="http://www.bosettiegatti.eu/info/norme/statali/2016_0050.htm%23y_2007_01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2016_0050.htm%23y_2007_0109" TargetMode="External"/><Relationship Id="rId20" Type="http://schemas.openxmlformats.org/officeDocument/2006/relationships/hyperlink" Target="http://www.bosettiegatti.eu/info/norme/2011_0159.htm%230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codicepenale.htm%233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codicepenale.htm%23648-bis" TargetMode="External"/><Relationship Id="rId23" Type="http://schemas.openxmlformats.org/officeDocument/2006/relationships/hyperlink" Target="http://www.bosettiegatti.eu/info/norme/2011_0159.htm%23092" TargetMode="External"/><Relationship Id="rId10" Type="http://schemas.openxmlformats.org/officeDocument/2006/relationships/hyperlink" Target="http://www.bosettiegatti.eu/info/norme/codicepenale.htm%23317" TargetMode="External"/><Relationship Id="rId19" Type="http://schemas.openxmlformats.org/officeDocument/2006/relationships/hyperlink" Target="http://www.bosettiegatti.eu/info/norme/2011_0159.htm%230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codicecivile.htm%232635" TargetMode="External"/><Relationship Id="rId22" Type="http://schemas.openxmlformats.org/officeDocument/2006/relationships/hyperlink" Target="http://www.bosettiegatti.eu/info/norme/2011_0159.htm%230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2858</Words>
  <Characters>16294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Dirsetone</cp:lastModifiedBy>
  <cp:revision>4</cp:revision>
  <dcterms:created xsi:type="dcterms:W3CDTF">2024-06-11T16:21:00Z</dcterms:created>
  <dcterms:modified xsi:type="dcterms:W3CDTF">2024-06-12T14:18:00Z</dcterms:modified>
</cp:coreProperties>
</file>