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3E162F" w:rsidRDefault="00707FA3" w:rsidP="00785A32">
      <w:pPr>
        <w:pStyle w:val="Corpotesto"/>
        <w:pBdr>
          <w:top w:val="single" w:sz="4" w:space="0" w:color="auto"/>
          <w:left w:val="single" w:sz="4" w:space="0" w:color="auto"/>
          <w:bottom w:val="single" w:sz="4" w:space="0" w:color="auto"/>
          <w:right w:val="single" w:sz="4" w:space="0" w:color="auto"/>
        </w:pBdr>
        <w:shd w:val="clear" w:color="auto" w:fill="auto"/>
        <w:spacing w:after="300"/>
        <w:jc w:val="both"/>
        <w:rPr>
          <w:sz w:val="28"/>
          <w:szCs w:val="28"/>
        </w:rPr>
      </w:pPr>
      <w:bookmarkStart w:id="0" w:name="_GoBack"/>
      <w:r w:rsidRPr="003E162F">
        <w:rPr>
          <w:b/>
          <w:bCs/>
          <w:sz w:val="28"/>
          <w:szCs w:val="28"/>
        </w:rPr>
        <w:t>Affidamento in concessione dei servizi di noleggio di attrezzature da spiag</w:t>
      </w:r>
      <w:r w:rsidR="003E162F" w:rsidRPr="003E162F">
        <w:rPr>
          <w:b/>
          <w:bCs/>
          <w:sz w:val="28"/>
          <w:szCs w:val="28"/>
        </w:rPr>
        <w:t>gia,</w:t>
      </w:r>
      <w:r w:rsidR="00785A32">
        <w:rPr>
          <w:b/>
          <w:bCs/>
          <w:sz w:val="28"/>
          <w:szCs w:val="28"/>
        </w:rPr>
        <w:t xml:space="preserve"> </w:t>
      </w:r>
      <w:r w:rsidR="003E162F" w:rsidRPr="003E162F">
        <w:rPr>
          <w:b/>
          <w:bCs/>
          <w:sz w:val="28"/>
          <w:szCs w:val="28"/>
        </w:rPr>
        <w:t>salvamento a mare, pulizie, manutenzione ordinaria e conservativa</w:t>
      </w:r>
      <w:r w:rsidR="00785A32">
        <w:rPr>
          <w:b/>
          <w:bCs/>
          <w:sz w:val="28"/>
          <w:szCs w:val="28"/>
        </w:rPr>
        <w:t xml:space="preserve">, </w:t>
      </w:r>
      <w:r w:rsidR="00785A32" w:rsidRPr="00785A32">
        <w:rPr>
          <w:b/>
          <w:bCs/>
          <w:sz w:val="28"/>
          <w:szCs w:val="28"/>
        </w:rPr>
        <w:t>bar e ristorazione funzionante l’intero anno, presso il centro balneare della polizia di stato “pentimele” di Reggio Calabria pe</w:t>
      </w:r>
      <w:r w:rsidR="00785A32">
        <w:rPr>
          <w:b/>
          <w:bCs/>
          <w:sz w:val="28"/>
          <w:szCs w:val="28"/>
        </w:rPr>
        <w:t>r la durata di anni 3 (mesi 36)</w:t>
      </w:r>
      <w:r w:rsidR="00F63C3B">
        <w:rPr>
          <w:b/>
          <w:bCs/>
          <w:sz w:val="28"/>
          <w:szCs w:val="28"/>
        </w:rPr>
        <w:t>,</w:t>
      </w:r>
      <w:r w:rsidRPr="003E162F">
        <w:rPr>
          <w:b/>
          <w:bCs/>
          <w:sz w:val="28"/>
          <w:szCs w:val="28"/>
        </w:rPr>
        <w:t xml:space="preserve"> </w:t>
      </w:r>
      <w:r w:rsidR="003E162F">
        <w:rPr>
          <w:b/>
          <w:bCs/>
          <w:sz w:val="28"/>
          <w:szCs w:val="28"/>
        </w:rPr>
        <w:t>tramite</w:t>
      </w:r>
      <w:r w:rsidR="003E162F" w:rsidRPr="003E162F">
        <w:rPr>
          <w:b/>
          <w:bCs/>
          <w:sz w:val="28"/>
          <w:szCs w:val="28"/>
        </w:rPr>
        <w:t xml:space="preserve"> procedura ristretta ai sen</w:t>
      </w:r>
      <w:r w:rsidR="00785A32">
        <w:rPr>
          <w:b/>
          <w:bCs/>
          <w:sz w:val="28"/>
          <w:szCs w:val="28"/>
        </w:rPr>
        <w:t>si dell’</w:t>
      </w:r>
      <w:r w:rsidR="003E162F" w:rsidRPr="003E162F">
        <w:rPr>
          <w:b/>
          <w:bCs/>
          <w:sz w:val="28"/>
          <w:szCs w:val="28"/>
        </w:rPr>
        <w:t xml:space="preserve">art. 61 </w:t>
      </w:r>
      <w:r w:rsidRPr="003E162F">
        <w:rPr>
          <w:b/>
          <w:bCs/>
          <w:sz w:val="28"/>
          <w:szCs w:val="28"/>
        </w:rPr>
        <w:t xml:space="preserve">del </w:t>
      </w:r>
      <w:r w:rsidR="003E162F" w:rsidRPr="003E162F">
        <w:rPr>
          <w:b/>
          <w:bCs/>
          <w:sz w:val="28"/>
          <w:szCs w:val="28"/>
        </w:rPr>
        <w:t>d.</w:t>
      </w:r>
      <w:r w:rsidRPr="003E162F">
        <w:rPr>
          <w:b/>
          <w:bCs/>
          <w:sz w:val="28"/>
          <w:szCs w:val="28"/>
        </w:rPr>
        <w:t xml:space="preserve"> </w:t>
      </w:r>
      <w:proofErr w:type="spellStart"/>
      <w:r w:rsidR="003E162F" w:rsidRPr="003E162F">
        <w:rPr>
          <w:b/>
          <w:bCs/>
          <w:sz w:val="28"/>
          <w:szCs w:val="28"/>
        </w:rPr>
        <w:t>l</w:t>
      </w:r>
      <w:r w:rsidRPr="003E162F">
        <w:rPr>
          <w:b/>
          <w:bCs/>
          <w:sz w:val="28"/>
          <w:szCs w:val="28"/>
        </w:rPr>
        <w:t>gs.vo</w:t>
      </w:r>
      <w:proofErr w:type="spellEnd"/>
      <w:r w:rsidRPr="003E162F">
        <w:rPr>
          <w:b/>
          <w:bCs/>
          <w:sz w:val="28"/>
          <w:szCs w:val="28"/>
        </w:rPr>
        <w:t xml:space="preserve"> n. 50</w:t>
      </w:r>
      <w:r w:rsidR="003E162F">
        <w:rPr>
          <w:b/>
          <w:bCs/>
          <w:sz w:val="28"/>
          <w:szCs w:val="28"/>
        </w:rPr>
        <w:t>/</w:t>
      </w:r>
      <w:proofErr w:type="gramStart"/>
      <w:r w:rsidR="003E162F">
        <w:rPr>
          <w:b/>
          <w:bCs/>
          <w:sz w:val="28"/>
          <w:szCs w:val="28"/>
        </w:rPr>
        <w:t>2016</w:t>
      </w:r>
      <w:r w:rsidR="00785A32">
        <w:rPr>
          <w:b/>
          <w:bCs/>
          <w:sz w:val="28"/>
          <w:szCs w:val="28"/>
        </w:rPr>
        <w:t>.-</w:t>
      </w:r>
      <w:proofErr w:type="gramEnd"/>
    </w:p>
    <w:bookmarkEnd w:id="0"/>
    <w:p w:rsidR="005A32CD" w:rsidRDefault="00707FA3">
      <w:pPr>
        <w:pStyle w:val="Corpotesto"/>
        <w:pBdr>
          <w:top w:val="single" w:sz="4" w:space="0" w:color="auto"/>
          <w:left w:val="single" w:sz="4" w:space="0" w:color="auto"/>
          <w:bottom w:val="single" w:sz="4" w:space="0" w:color="auto"/>
          <w:right w:val="single" w:sz="4" w:space="0" w:color="auto"/>
        </w:pBdr>
        <w:shd w:val="clear" w:color="auto" w:fill="auto"/>
        <w:spacing w:after="680" w:line="221" w:lineRule="auto"/>
        <w:jc w:val="center"/>
        <w:rPr>
          <w:sz w:val="28"/>
          <w:szCs w:val="28"/>
        </w:rPr>
      </w:pPr>
      <w:r w:rsidRPr="00785A32">
        <w:rPr>
          <w:b/>
          <w:bCs/>
          <w:sz w:val="28"/>
          <w:szCs w:val="28"/>
          <w:highlight w:val="yellow"/>
          <w:u w:val="single"/>
        </w:rPr>
        <w:t>CIG: _______________</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 xml:space="preserve">servizi di noleggio di attrezzature da spiaggia, salvamento a mare, pulizie, </w:t>
      </w:r>
      <w:r w:rsidR="003E162F">
        <w:rPr>
          <w:b/>
          <w:bCs/>
          <w:sz w:val="26"/>
          <w:szCs w:val="26"/>
        </w:rPr>
        <w:t xml:space="preserve">manutenzione ordinaria e conservativa, </w:t>
      </w:r>
      <w:r w:rsidR="003E162F" w:rsidRPr="003E162F">
        <w:rPr>
          <w:b/>
          <w:bCs/>
          <w:i/>
          <w:sz w:val="26"/>
          <w:szCs w:val="26"/>
        </w:rPr>
        <w:t>(</w:t>
      </w:r>
      <w:r w:rsidR="003E162F">
        <w:rPr>
          <w:b/>
          <w:bCs/>
          <w:i/>
          <w:sz w:val="26"/>
          <w:szCs w:val="26"/>
        </w:rPr>
        <w:t xml:space="preserve">eventuale: </w:t>
      </w:r>
      <w:r w:rsidRPr="003E162F">
        <w:rPr>
          <w:b/>
          <w:bCs/>
          <w:i/>
          <w:sz w:val="26"/>
          <w:szCs w:val="26"/>
        </w:rPr>
        <w:t>ristorazione e bar</w:t>
      </w:r>
      <w:r w:rsidR="003E162F">
        <w:rPr>
          <w:b/>
          <w:bCs/>
          <w:sz w:val="26"/>
          <w:szCs w:val="26"/>
        </w:rPr>
        <w:t>)</w:t>
      </w:r>
      <w:r>
        <w:rPr>
          <w:b/>
          <w:bCs/>
          <w:sz w:val="26"/>
          <w:szCs w:val="26"/>
        </w:rPr>
        <w:t xml:space="preserve"> presso il Centro balneare della Polizia di Stato di </w:t>
      </w:r>
      <w:r w:rsidR="00785A32">
        <w:rPr>
          <w:b/>
          <w:bCs/>
          <w:sz w:val="26"/>
          <w:szCs w:val="26"/>
        </w:rPr>
        <w:t>Reggio Calabria.</w:t>
      </w:r>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proofErr w:type="gramStart"/>
      <w:r>
        <w:t>ai</w:t>
      </w:r>
      <w:proofErr w:type="gramEnd"/>
      <w:r>
        <w:t xml:space="preserve">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xmlns:cx="http://schemas.microsoft.com/office/drawing/2014/chartex" xmlns:w16se="http://schemas.microsoft.com/office/word/2015/wordml/symex">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lastRenderedPageBreak/>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t>Soggetti facenti parte dell'assetto societario (Nome, Cognome, codice fiscale):</w:t>
      </w:r>
    </w:p>
    <w:p w:rsidR="005A32CD" w:rsidRDefault="00707FA3">
      <w:pPr>
        <w:pStyle w:val="Corpotesto"/>
        <w:shd w:val="clear" w:color="auto" w:fill="auto"/>
        <w:tabs>
          <w:tab w:val="left" w:leader="underscore" w:pos="8069"/>
        </w:tabs>
        <w:spacing w:after="220"/>
      </w:pPr>
      <w:r>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ARTT. 80 E 83 D.L</w:t>
      </w:r>
      <w:r w:rsidR="005E203E">
        <w:t>GS 50/2016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proofErr w:type="gramStart"/>
      <w:r>
        <w:t>Dichiara:</w:t>
      </w:r>
      <w:r w:rsidR="00785A32">
        <w:t>\</w:t>
      </w:r>
      <w:proofErr w:type="gramEnd"/>
    </w:p>
    <w:p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9" w:history="1">
        <w:r>
          <w:rPr>
            <w:b/>
            <w:bCs/>
          </w:rPr>
          <w:t>'articolo 444 del codice di procedura penale,</w:t>
        </w:r>
      </w:hyperlink>
      <w:r>
        <w:rPr>
          <w:b/>
          <w:bCs/>
        </w:rPr>
        <w:t xml:space="preserve"> anche riferita a un suo subappaltatore nei casi di cui all</w:t>
      </w:r>
      <w:hyperlink r:id="rId10"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1"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2" w:history="1">
        <w:r>
          <w:t xml:space="preserve"> articolo 416-bis </w:t>
        </w:r>
      </w:hyperlink>
      <w:r>
        <w:t>ovvero al fine di agevolare l'attività delle associazioni previste dallo stesso articolo, nonché per i delitti, consumati o tentati, previsti dal</w:t>
      </w:r>
      <w:hyperlink r:id="rId13" w:history="1">
        <w:r>
          <w:t>l'articolo 74 del decreto del presidente della</w:t>
        </w:r>
      </w:hyperlink>
      <w:r>
        <w:t xml:space="preserve"> </w:t>
      </w:r>
      <w:hyperlink r:id="rId14" w:history="1">
        <w:r>
          <w:t>repubblica 9 ottobre 1990, n. 309,</w:t>
        </w:r>
      </w:hyperlink>
      <w:r>
        <w:t xml:space="preserve"> dall</w:t>
      </w:r>
      <w:hyperlink r:id="rId15" w:history="1">
        <w:r>
          <w:t>'articolo 291-quater del decreto del presidente</w:t>
        </w:r>
      </w:hyperlink>
      <w:r>
        <w:t xml:space="preserve"> </w:t>
      </w:r>
      <w:hyperlink r:id="rId16" w:history="1">
        <w:r>
          <w:t xml:space="preserve">della repubblica 23 gennaio 1973, n. 43 </w:t>
        </w:r>
      </w:hyperlink>
      <w:r>
        <w:t>e dal</w:t>
      </w:r>
      <w:hyperlink r:id="rId17" w:history="1">
        <w:r>
          <w:t>l'articolo 260 del decreto legislativo 3 aprile</w:t>
        </w:r>
      </w:hyperlink>
      <w:r>
        <w:t xml:space="preserve"> </w:t>
      </w:r>
      <w:hyperlink r:id="rId18"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19" w:history="1">
        <w:r>
          <w:t xml:space="preserve"> articoli 317, 318, 319, 319-ter, 319-quater, 320,</w:t>
        </w:r>
      </w:hyperlink>
      <w:r>
        <w:t xml:space="preserve"> </w:t>
      </w:r>
      <w:hyperlink r:id="rId20" w:history="1">
        <w:r>
          <w:t>321, 322, 322-bis,</w:t>
        </w:r>
      </w:hyperlink>
      <w:hyperlink r:id="rId21" w:history="1">
        <w:r>
          <w:t xml:space="preserve"> 346-bis,</w:t>
        </w:r>
      </w:hyperlink>
      <w:hyperlink r:id="rId22" w:history="1">
        <w:r>
          <w:t xml:space="preserve"> 353, 353-bis, 354, 355 e 356 del codice penale </w:t>
        </w:r>
      </w:hyperlink>
      <w:r>
        <w:t>nonché all</w:t>
      </w:r>
      <w:hyperlink r:id="rId23" w:history="1">
        <w:r>
          <w:t xml:space="preserve">'articolo </w:t>
        </w:r>
        <w:r>
          <w:lastRenderedPageBreak/>
          <w:t>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4" w:history="1">
        <w:r>
          <w:t xml:space="preserve"> articoli 648-bis, 648-ter e 648-ter.1 del codice penale,</w:t>
        </w:r>
      </w:hyperlink>
      <w:r>
        <w:t xml:space="preserve"> riciclaggio di proventi di attività criminose o finanziamento del terrorismo, quali definiti all</w:t>
      </w:r>
      <w:hyperlink r:id="rId25" w:history="1">
        <w:r>
          <w:t>'articolo 1</w:t>
        </w:r>
      </w:hyperlink>
      <w:r>
        <w:t xml:space="preserve"> </w:t>
      </w:r>
      <w:hyperlink r:id="rId26"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7" w:history="1">
        <w:r>
          <w:t>l'articolo 67</w:t>
        </w:r>
      </w:hyperlink>
      <w:r>
        <w:t xml:space="preserve"> </w:t>
      </w:r>
      <w:hyperlink r:id="rId28" w:history="1">
        <w:r>
          <w:t xml:space="preserve">del decreto legislativo 6 settembre 2011, n. 159 </w:t>
        </w:r>
      </w:hyperlink>
      <w:r>
        <w:t>o di un tentativo di infiltrazione mafiosa di cui all</w:t>
      </w:r>
      <w:hyperlink r:id="rId29" w:history="1">
        <w:r>
          <w:t>'articolo 84, comma 4, del medesimo decreto.</w:t>
        </w:r>
      </w:hyperlink>
      <w:r>
        <w:t xml:space="preserve"> Resta fermo quanto previsto dagli</w:t>
      </w:r>
      <w:hyperlink r:id="rId30" w:history="1">
        <w:r>
          <w:t xml:space="preserve"> articoli 88,</w:t>
        </w:r>
      </w:hyperlink>
      <w:r>
        <w:t xml:space="preserve"> </w:t>
      </w:r>
      <w:hyperlink r:id="rId31" w:history="1">
        <w:r>
          <w:t>comma 4-bis,</w:t>
        </w:r>
      </w:hyperlink>
      <w:r>
        <w:t xml:space="preserve"> e</w:t>
      </w:r>
      <w:hyperlink r:id="rId32"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Art. 80 -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proofErr w:type="gramStart"/>
      <w:r>
        <w:rPr>
          <w:b/>
          <w:bCs/>
          <w:i/>
          <w:iCs/>
        </w:rPr>
        <w:t>del</w:t>
      </w:r>
      <w:proofErr w:type="gramEnd"/>
      <w:r>
        <w:rPr>
          <w:b/>
          <w:bCs/>
          <w:i/>
          <w:iCs/>
        </w:rPr>
        <w:t xml:space="preserve">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proofErr w:type="gramStart"/>
      <w:r>
        <w:rPr>
          <w:i/>
          <w:iCs/>
        </w:rPr>
        <w:t>di</w:t>
      </w:r>
      <w:proofErr w:type="gramEnd"/>
      <w:r>
        <w:rPr>
          <w:i/>
          <w:iCs/>
        </w:rPr>
        <w:t xml:space="preserve">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proofErr w:type="gramStart"/>
      <w:r>
        <w:rPr>
          <w:i/>
          <w:iCs/>
        </w:rPr>
        <w:t>dei</w:t>
      </w:r>
      <w:proofErr w:type="gramEnd"/>
      <w:r>
        <w:rPr>
          <w:i/>
          <w:iCs/>
        </w:rPr>
        <w:t xml:space="preserve">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rsidR="005A32CD" w:rsidRDefault="00707FA3">
      <w:pPr>
        <w:pStyle w:val="Corpotesto"/>
        <w:shd w:val="clear" w:color="auto" w:fill="auto"/>
        <w:spacing w:after="0"/>
        <w:jc w:val="both"/>
      </w:pPr>
      <w:r>
        <w:rPr>
          <w:b/>
          <w:bCs/>
        </w:rPr>
        <w:t>Art 80 Codice degli appalti - Requisiti di ordine generale - comma 4</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5A32CD" w:rsidRDefault="00707FA3">
      <w:pPr>
        <w:pStyle w:val="Corpotesto"/>
        <w:shd w:val="clear" w:color="auto" w:fill="auto"/>
        <w:spacing w:after="240"/>
        <w:jc w:val="both"/>
      </w:pPr>
      <w:r>
        <w:rPr>
          <w:i/>
          <w:iCs/>
        </w:rPr>
        <w:lastRenderedPageBreak/>
        <w:t>Costituiscono gravi violazioni quelle che comportano un omesso pagamento di imposte e tasse superiore all'importo di cui all</w:t>
      </w:r>
      <w:hyperlink r:id="rId33" w:history="1">
        <w:r>
          <w:rPr>
            <w:i/>
            <w:iCs/>
          </w:rPr>
          <w:t>'articolo 48-bis, commi 1 e 2-bis, del decreto del Presidente della</w:t>
        </w:r>
      </w:hyperlink>
      <w:r>
        <w:rPr>
          <w:i/>
          <w:iCs/>
        </w:rPr>
        <w:t xml:space="preserve"> </w:t>
      </w:r>
      <w:hyperlink r:id="rId34" w:history="1">
        <w:r>
          <w:rPr>
            <w:i/>
            <w:iCs/>
          </w:rPr>
          <w:t>Repubblica 29 settembre 1973, n. 602.</w:t>
        </w:r>
      </w:hyperlink>
      <w:r>
        <w:rPr>
          <w:i/>
          <w:iCs/>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5" w:history="1">
        <w:r>
          <w:t>'articolo 105, comma 6,</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non aver commesso gravi infrazioni debitamente accertate alle norme in materia di salute e sicurezza sul lavoro nonché agli obblighi di cui all</w:t>
      </w:r>
      <w:hyperlink r:id="rId36"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proofErr w:type="gramStart"/>
      <w:r>
        <w:t>di</w:t>
      </w:r>
      <w:proofErr w:type="gramEnd"/>
      <w: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7"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proofErr w:type="gramStart"/>
      <w:r>
        <w:t>di</w:t>
      </w:r>
      <w:proofErr w:type="gramEnd"/>
      <w:r>
        <w:t xml:space="preserve"> non aver determinato, con la partecipazione alla gara, una situazione di conflitto di interesse ai sensi dell</w:t>
      </w:r>
      <w:hyperlink r:id="rId38" w:history="1">
        <w:r>
          <w:t>'articolo 42, comma 2,</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proofErr w:type="gramStart"/>
      <w:r>
        <w:t>di</w:t>
      </w:r>
      <w:proofErr w:type="gramEnd"/>
      <w:r>
        <w:t xml:space="preserve"> non aver determinato distorsione della concorrenza derivante dal precedente coinvolgimento degli operatori economici nella preparazione della procedura d'appalto di cui all</w:t>
      </w:r>
      <w:hyperlink r:id="rId39"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 xml:space="preserve">di non essere stato soggetto alla sanzione </w:t>
      </w:r>
      <w:proofErr w:type="spellStart"/>
      <w:r>
        <w:t>interdittiva</w:t>
      </w:r>
      <w:proofErr w:type="spellEnd"/>
      <w:r>
        <w:t xml:space="preserve"> di cui all</w:t>
      </w:r>
      <w:hyperlink r:id="rId40" w:history="1">
        <w:r>
          <w:t>'articolo 9, comma 2, lettera c)</w:t>
        </w:r>
      </w:hyperlink>
      <w:r>
        <w:t xml:space="preserve"> </w:t>
      </w:r>
      <w:hyperlink r:id="rId41" w:history="1">
        <w:r>
          <w:t xml:space="preserve">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all</w:t>
      </w:r>
      <w:hyperlink r:id="rId42" w:history="1">
        <w:r>
          <w:t>'articolo 14 del decreto legislativo 9 aprile 2008, n. 81;</w:t>
        </w:r>
      </w:hyperlink>
    </w:p>
    <w:p w:rsidR="005A32CD" w:rsidRDefault="00707FA3">
      <w:pPr>
        <w:pStyle w:val="Corpotesto"/>
        <w:shd w:val="clear" w:color="auto" w:fill="auto"/>
        <w:spacing w:after="0"/>
        <w:jc w:val="both"/>
      </w:pPr>
      <w:proofErr w:type="gramStart"/>
      <w:r>
        <w:t>f</w:t>
      </w:r>
      <w:proofErr w:type="gramEnd"/>
      <w:r>
        <w:t>-bis)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proofErr w:type="gramStart"/>
      <w:r>
        <w:t>f</w:t>
      </w:r>
      <w:proofErr w:type="gramEnd"/>
      <w:r>
        <w:t xml:space="preserve">-ter)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proofErr w:type="gramStart"/>
      <w:r>
        <w:t>di</w:t>
      </w:r>
      <w:proofErr w:type="gramEnd"/>
      <w:r>
        <w:t xml:space="preserve">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proofErr w:type="gramStart"/>
      <w:r>
        <w:t>di</w:t>
      </w:r>
      <w:proofErr w:type="gramEnd"/>
      <w:r>
        <w:t xml:space="preserve"> non aver violato il divieto di intestazione fiduciaria di cui all</w:t>
      </w:r>
      <w:hyperlink r:id="rId43" w:history="1">
        <w:r>
          <w:t>'articolo 17 della legge 19</w:t>
        </w:r>
      </w:hyperlink>
      <w:r>
        <w:t xml:space="preserve"> </w:t>
      </w:r>
      <w:hyperlink r:id="rId44"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essere in regola con le norme che disciplinano il diritto al lavoro dei disabili, di cui alla Legge 12 marzo 1999, n. 68 (Norme per il diritto al lavoro dei disabili -</w:t>
      </w:r>
      <w:hyperlink r:id="rId45"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6" w:history="1">
        <w:r>
          <w:t xml:space="preserve"> articoli 317 </w:t>
        </w:r>
      </w:hyperlink>
      <w:r>
        <w:t>e</w:t>
      </w:r>
      <w:hyperlink r:id="rId47" w:history="1">
        <w:r>
          <w:t xml:space="preserve"> 629 del codice</w:t>
        </w:r>
      </w:hyperlink>
      <w:r>
        <w:t xml:space="preserve"> </w:t>
      </w:r>
      <w:hyperlink r:id="rId48" w:history="1">
        <w:r>
          <w:t xml:space="preserve">penale </w:t>
        </w:r>
      </w:hyperlink>
      <w:r>
        <w:t xml:space="preserve">aggravati ai sensi dell'articolo 7 del decreto-legge 13 maggio 1991, n. 152, convertito, con modificazioni, dalla legge 12 luglio 1991, n. 203, non risulti aver denunciato i fatti all'autorità </w:t>
      </w:r>
      <w:r>
        <w:lastRenderedPageBreak/>
        <w:t>giudiziaria, salvo che ricorrano i casi previsti dall</w:t>
      </w:r>
      <w:hyperlink r:id="rId49" w:history="1">
        <w:r>
          <w:t>'articolo 4, primo comma, della</w:t>
        </w:r>
      </w:hyperlink>
      <w:r>
        <w:t xml:space="preserve"> </w:t>
      </w:r>
      <w:hyperlink r:id="rId50" w:history="1">
        <w:r>
          <w:t>legge 24 novembre 1981, n. 689.</w:t>
        </w:r>
      </w:hyperlink>
      <w: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1"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pPr>
        <w:pStyle w:val="Corpotesto"/>
        <w:shd w:val="clear" w:color="auto" w:fill="auto"/>
        <w:spacing w:after="539"/>
        <w:ind w:firstLine="740"/>
        <w:jc w:val="both"/>
      </w:pPr>
      <w:r>
        <w:rPr>
          <w:b/>
          <w:bCs/>
          <w:i/>
          <w:iCs/>
          <w:u w:val="single"/>
        </w:rPr>
        <w:t>Come indicato nel Disciplinare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proofErr w:type="spellStart"/>
      <w:r>
        <w:t>capacita</w:t>
      </w:r>
      <w:proofErr w:type="gramStart"/>
      <w:r>
        <w:t>'</w:t>
      </w:r>
      <w:proofErr w:type="spellEnd"/>
      <w:r w:rsidR="00EA021E">
        <w:t xml:space="preserve"> </w:t>
      </w:r>
      <w:r>
        <w:t xml:space="preserve"> economic</w:t>
      </w:r>
      <w:r w:rsidR="00EA021E">
        <w:t>a</w:t>
      </w:r>
      <w:proofErr w:type="gramEnd"/>
      <w:r>
        <w:t xml:space="preserve"> e finanziaria</w:t>
      </w:r>
      <w:bookmarkEnd w:id="1"/>
      <w:bookmarkEnd w:id="2"/>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EA021E" w:rsidRDefault="00707FA3" w:rsidP="00EA021E">
      <w:pPr>
        <w:pStyle w:val="Corpotesto"/>
        <w:shd w:val="clear" w:color="auto" w:fill="auto"/>
        <w:spacing w:after="494"/>
        <w:ind w:firstLine="740"/>
        <w:jc w:val="both"/>
      </w:pPr>
      <w:r>
        <w:rPr>
          <w:b/>
          <w:bCs/>
          <w:i/>
          <w:iCs/>
          <w:u w:val="single"/>
        </w:rPr>
        <w:t>Come indicato nel Disciplinare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5A32CD" w:rsidRDefault="00707FA3">
      <w:pPr>
        <w:pStyle w:val="Corpotesto"/>
        <w:shd w:val="clear" w:color="auto" w:fill="auto"/>
        <w:spacing w:after="169"/>
        <w:jc w:val="both"/>
        <w:rPr>
          <w:b/>
          <w:bCs/>
          <w:i/>
          <w:iCs/>
          <w:u w:val="single"/>
        </w:rPr>
      </w:pPr>
      <w:r>
        <w:rPr>
          <w:b/>
          <w:bCs/>
          <w:i/>
          <w:iCs/>
          <w:u w:val="single"/>
        </w:rPr>
        <w:t>Come indicato nel Disciplinare</w:t>
      </w:r>
    </w:p>
    <w:p w:rsidR="00EA021E" w:rsidRDefault="00EA021E">
      <w:pPr>
        <w:pStyle w:val="Corpotesto"/>
        <w:shd w:val="clear" w:color="auto" w:fill="auto"/>
        <w:spacing w:after="169"/>
        <w:jc w:val="both"/>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proofErr w:type="gramStart"/>
      <w:r>
        <w:rPr>
          <w:b/>
          <w:bCs/>
        </w:rPr>
        <w:t>ai</w:t>
      </w:r>
      <w:proofErr w:type="gramEnd"/>
      <w:r>
        <w:rPr>
          <w:b/>
          <w:bCs/>
        </w:rPr>
        <w:t xml:space="preserve">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proofErr w:type="gramStart"/>
      <w:r>
        <w:rPr>
          <w:sz w:val="26"/>
          <w:szCs w:val="26"/>
        </w:rPr>
        <w:t>di</w:t>
      </w:r>
      <w:proofErr w:type="gramEnd"/>
      <w:r>
        <w:rPr>
          <w:sz w:val="26"/>
          <w:szCs w:val="26"/>
        </w:rPr>
        <w:t xml:space="preserve">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proofErr w:type="gramStart"/>
      <w:r>
        <w:rPr>
          <w:sz w:val="26"/>
          <w:szCs w:val="26"/>
        </w:rPr>
        <w:lastRenderedPageBreak/>
        <w:t>di</w:t>
      </w:r>
      <w:proofErr w:type="gramEnd"/>
      <w:r>
        <w:rPr>
          <w:sz w:val="26"/>
          <w:szCs w:val="26"/>
        </w:rPr>
        <w:t xml:space="preserve">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D50078" w:rsidRDefault="00D50078">
      <w:pPr>
        <w:pStyle w:val="Corpotesto"/>
        <w:shd w:val="clear" w:color="auto" w:fill="auto"/>
        <w:spacing w:after="0"/>
        <w:ind w:left="300"/>
        <w:jc w:val="both"/>
        <w:rPr>
          <w:sz w:val="26"/>
          <w:szCs w:val="26"/>
        </w:rPr>
      </w:pPr>
    </w:p>
    <w:p w:rsidR="005A32CD" w:rsidRDefault="00707FA3" w:rsidP="00D50078">
      <w:pPr>
        <w:pStyle w:val="Corpotesto"/>
        <w:shd w:val="clear" w:color="auto" w:fill="auto"/>
        <w:spacing w:after="0"/>
        <w:ind w:left="300" w:hanging="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rsidP="00D50078">
      <w:pPr>
        <w:pStyle w:val="Corpotesto"/>
        <w:shd w:val="clear" w:color="auto" w:fill="auto"/>
        <w:spacing w:after="0"/>
        <w:ind w:left="300" w:hanging="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lastRenderedPageBreak/>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consentire il trattamento dei dati personali forniti ai sensi del D.Lgs.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785A32" w:rsidRDefault="00785A32">
      <w:pPr>
        <w:pStyle w:val="Corpotesto"/>
        <w:shd w:val="clear" w:color="auto" w:fill="auto"/>
        <w:spacing w:after="600"/>
        <w:jc w:val="both"/>
        <w:rPr>
          <w:sz w:val="26"/>
          <w:szCs w:val="26"/>
        </w:rPr>
      </w:pPr>
    </w:p>
    <w:p w:rsidR="00785A32" w:rsidRDefault="00785A32">
      <w:pPr>
        <w:pStyle w:val="Corpotesto"/>
        <w:shd w:val="clear" w:color="auto" w:fill="auto"/>
        <w:spacing w:after="600"/>
        <w:jc w:val="both"/>
        <w:rPr>
          <w:sz w:val="26"/>
          <w:szCs w:val="26"/>
        </w:rPr>
      </w:pPr>
    </w:p>
    <w:p w:rsidR="005A32CD" w:rsidRDefault="00707FA3">
      <w:pPr>
        <w:pStyle w:val="Corpotesto"/>
        <w:shd w:val="clear" w:color="auto" w:fill="auto"/>
        <w:spacing w:after="600"/>
        <w:jc w:val="both"/>
        <w:rPr>
          <w:sz w:val="26"/>
          <w:szCs w:val="26"/>
        </w:rPr>
      </w:pPr>
      <w:r>
        <w:rPr>
          <w:sz w:val="26"/>
          <w:szCs w:val="26"/>
        </w:rPr>
        <w:t>FIRMA</w:t>
      </w:r>
      <w:r w:rsidR="00785A32">
        <w:rPr>
          <w:sz w:val="26"/>
          <w:szCs w:val="26"/>
        </w:rPr>
        <w:t xml:space="preserve"> DIGITALE </w:t>
      </w:r>
      <w:r>
        <w:rPr>
          <w:sz w:val="26"/>
          <w:szCs w:val="26"/>
        </w:rPr>
        <w:t>DEL LEGALE RAPPRESENTANTE</w:t>
      </w:r>
    </w:p>
    <w:p w:rsidR="005A32CD" w:rsidRDefault="00707FA3" w:rsidP="00785A32">
      <w:pPr>
        <w:pStyle w:val="Corpotesto"/>
        <w:shd w:val="clear" w:color="auto" w:fill="auto"/>
        <w:spacing w:after="24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DC" w:rsidRDefault="00707FA3">
      <w:r>
        <w:separator/>
      </w:r>
    </w:p>
  </w:endnote>
  <w:endnote w:type="continuationSeparator" w:id="0">
    <w:p w:rsidR="001122DC" w:rsidRDefault="0070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A32CD" w:rsidRDefault="00707FA3">
                          <w:pPr>
                            <w:pStyle w:val="Headerorfooter20"/>
                            <w:shd w:val="clear" w:color="auto" w:fill="auto"/>
                          </w:pPr>
                          <w:r>
                            <w:fldChar w:fldCharType="begin"/>
                          </w:r>
                          <w:r>
                            <w:instrText xml:space="preserve"> PAGE \* MERGEFORMAT </w:instrText>
                          </w:r>
                          <w:r>
                            <w:fldChar w:fldCharType="separate"/>
                          </w:r>
                          <w:r w:rsidR="003165E2">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3165E2">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CD" w:rsidRDefault="005A32CD"/>
  </w:footnote>
  <w:footnote w:type="continuationSeparator" w:id="0">
    <w:p w:rsidR="005A32CD" w:rsidRDefault="005A3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xmlns:cx="http://schemas.microsoft.com/office/drawing/2014/chartex" xmlns:w16se="http://schemas.microsoft.com/office/word/2015/wordml/symex"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475.85000000000002pt;margin-top:26.899999999999999pt;width:76.299999999999997pt;height:10.8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it-IT" w:eastAsia="it-IT" w:bidi="it-IT"/>
                      </w:rPr>
                      <w:t>Allegato A.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D"/>
    <w:rsid w:val="001122DC"/>
    <w:rsid w:val="002B6079"/>
    <w:rsid w:val="003165E2"/>
    <w:rsid w:val="003E162F"/>
    <w:rsid w:val="004B3985"/>
    <w:rsid w:val="005A32CD"/>
    <w:rsid w:val="005E203E"/>
    <w:rsid w:val="00707FA3"/>
    <w:rsid w:val="00785A32"/>
    <w:rsid w:val="007C5AE3"/>
    <w:rsid w:val="00B13281"/>
    <w:rsid w:val="00BB2AC8"/>
    <w:rsid w:val="00D50078"/>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Intestazione">
    <w:name w:val="header"/>
    <w:basedOn w:val="Normale"/>
    <w:link w:val="IntestazioneCarattere"/>
    <w:uiPriority w:val="99"/>
    <w:unhideWhenUsed/>
    <w:rsid w:val="00785A32"/>
    <w:pPr>
      <w:tabs>
        <w:tab w:val="center" w:pos="4819"/>
        <w:tab w:val="right" w:pos="9638"/>
      </w:tabs>
    </w:pPr>
  </w:style>
  <w:style w:type="character" w:customStyle="1" w:styleId="IntestazioneCarattere">
    <w:name w:val="Intestazione Carattere"/>
    <w:basedOn w:val="Carpredefinitoparagrafo"/>
    <w:link w:val="Intestazione"/>
    <w:uiPriority w:val="99"/>
    <w:rsid w:val="00785A32"/>
    <w:rPr>
      <w:color w:val="000000"/>
    </w:rPr>
  </w:style>
  <w:style w:type="paragraph" w:styleId="Pidipagina">
    <w:name w:val="footer"/>
    <w:basedOn w:val="Normale"/>
    <w:link w:val="PidipaginaCarattere"/>
    <w:uiPriority w:val="99"/>
    <w:unhideWhenUsed/>
    <w:rsid w:val="00785A32"/>
    <w:pPr>
      <w:tabs>
        <w:tab w:val="center" w:pos="4819"/>
        <w:tab w:val="right" w:pos="9638"/>
      </w:tabs>
    </w:pPr>
  </w:style>
  <w:style w:type="character" w:customStyle="1" w:styleId="PidipaginaCarattere">
    <w:name w:val="Piè di pagina Carattere"/>
    <w:basedOn w:val="Carpredefinitoparagrafo"/>
    <w:link w:val="Pidipagina"/>
    <w:uiPriority w:val="99"/>
    <w:rsid w:val="00785A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3y_1990_0309"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67" TargetMode="External"/><Relationship Id="rId21" Type="http://schemas.openxmlformats.org/officeDocument/2006/relationships/hyperlink" Target="http://www.bosettiegatti.eu/info/norme/codicepenale.htm%23346-bis"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8_0081.htm%23014" TargetMode="External"/><Relationship Id="rId47" Type="http://schemas.openxmlformats.org/officeDocument/2006/relationships/hyperlink" Target="http://www.bosettiegatti.eu/info/norme/codicepenale.htm%23629" TargetMode="External"/><Relationship Id="rId50" Type="http://schemas.openxmlformats.org/officeDocument/2006/relationships/hyperlink" Target="http://www.bosettiegatti.eu/info/norme/1981_0689.htm%2300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84" TargetMode="External"/><Relationship Id="rId11" Type="http://schemas.openxmlformats.org/officeDocument/2006/relationships/hyperlink" Target="http://www.bosettiegatti.eu/info/norme/codicepenale.htm%23416" TargetMode="External"/><Relationship Id="rId24" Type="http://schemas.openxmlformats.org/officeDocument/2006/relationships/hyperlink" Target="http://www.bosettiegatti.eu/info/norme/codicepenale.htm%23648-bis" TargetMode="External"/><Relationship Id="rId32" Type="http://schemas.openxmlformats.org/officeDocument/2006/relationships/hyperlink" Target="http://www.bosettiegatti.eu/info/norme/2011_0159.htm%23092" TargetMode="External"/><Relationship Id="rId37" Type="http://schemas.openxmlformats.org/officeDocument/2006/relationships/hyperlink" Target="http://www.bosettiegatti.eu/info/norme/statali/2016_0050.htm%23110" TargetMode="External"/><Relationship Id="rId40" Type="http://schemas.openxmlformats.org/officeDocument/2006/relationships/hyperlink" Target="http://www.bosettiegatti.eu/info/norme/2001_0231.htm%2309" TargetMode="External"/><Relationship Id="rId45" Type="http://schemas.openxmlformats.org/officeDocument/2006/relationships/hyperlink" Target="http://www.bosettiegatti.eu/info/norme/1999_0068.htm%23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2016_0050.htm%23105" TargetMode="External"/><Relationship Id="rId19" Type="http://schemas.openxmlformats.org/officeDocument/2006/relationships/hyperlink" Target="http://www.bosettiegatti.eu/info/norme/codicepenale.htm%23317"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23444" TargetMode="Externa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53" TargetMode="External"/><Relationship Id="rId27" Type="http://schemas.openxmlformats.org/officeDocument/2006/relationships/hyperlink" Target="http://www.bosettiegatti.eu/info/norme/2011_0159.htm%23067" TargetMode="External"/><Relationship Id="rId30" Type="http://schemas.openxmlformats.org/officeDocument/2006/relationships/hyperlink" Target="http://www.bosettiegatti.eu/info/norme/2011_0159.htm%23088" TargetMode="External"/><Relationship Id="rId35" Type="http://schemas.openxmlformats.org/officeDocument/2006/relationships/hyperlink" Target="http://www.bosettiegatti.eu/info/norme/statali/2016_0050.htm%23105" TargetMode="External"/><Relationship Id="rId43" Type="http://schemas.openxmlformats.org/officeDocument/2006/relationships/hyperlink" Target="http://www.bosettiegatti.eu/info/norme/1990_0055.htm%2317" TargetMode="External"/><Relationship Id="rId48" Type="http://schemas.openxmlformats.org/officeDocument/2006/relationships/hyperlink" Target="http://www.bosettiegatti.eu/info/norme/codicepenale.htm%23629" TargetMode="External"/><Relationship Id="rId8" Type="http://schemas.openxmlformats.org/officeDocument/2006/relationships/footer" Target="footer1.xml"/><Relationship Id="rId51" Type="http://schemas.openxmlformats.org/officeDocument/2006/relationships/hyperlink" Target="http://www.bosettiegatti.eu/info/norme/codicecivile.htm%232359" TargetMode="External"/><Relationship Id="rId3" Type="http://schemas.openxmlformats.org/officeDocument/2006/relationships/settings" Target="settings.xml"/><Relationship Id="rId12" Type="http://schemas.openxmlformats.org/officeDocument/2006/relationships/hyperlink" Target="http://www.bosettiegatti.eu/info/norme/codicepenale.htm%23416-bis" TargetMode="External"/><Relationship Id="rId17" Type="http://schemas.openxmlformats.org/officeDocument/2006/relationships/hyperlink" Target="http://www.bosettiegatti.eu/info/norme/2006_0152.htm%23260" TargetMode="External"/><Relationship Id="rId25" Type="http://schemas.openxmlformats.org/officeDocument/2006/relationships/hyperlink" Target="http://www.bosettiegatti.eu/info/norme/statali/2016_0050.htm%23y_2007_0109" TargetMode="External"/><Relationship Id="rId33" Type="http://schemas.openxmlformats.org/officeDocument/2006/relationships/hyperlink" Target="http://www.bosettiegatti.eu/info/norme/2008_0040.htm%2302" TargetMode="External"/><Relationship Id="rId38" Type="http://schemas.openxmlformats.org/officeDocument/2006/relationships/hyperlink" Target="http://www.bosettiegatti.eu/info/norme/statali/2016_0050.htm%23042" TargetMode="External"/><Relationship Id="rId46" Type="http://schemas.openxmlformats.org/officeDocument/2006/relationships/hyperlink" Target="http://www.bosettiegatti.eu/info/norme/codicepenale.htm%23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6_0050.htm%23y_1973_0043" TargetMode="External"/><Relationship Id="rId23" Type="http://schemas.openxmlformats.org/officeDocument/2006/relationships/hyperlink" Target="http://www.bosettiegatti.eu/info/norme/codicecivile.htm%232635"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030" TargetMode="External"/><Relationship Id="rId49" Type="http://schemas.openxmlformats.org/officeDocument/2006/relationships/hyperlink" Target="http://www.bosettiegatti.eu/info/norme/1981_0689.htm%23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3222</Words>
  <Characters>18369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SCILIPOTI Giuseppe</cp:lastModifiedBy>
  <cp:revision>5</cp:revision>
  <dcterms:created xsi:type="dcterms:W3CDTF">2023-02-18T10:04:00Z</dcterms:created>
  <dcterms:modified xsi:type="dcterms:W3CDTF">2023-02-18T11:50:00Z</dcterms:modified>
</cp:coreProperties>
</file>