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Como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Viale Franklin Delano Roosevelt,7, 22100 COMO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dipps124.00f0@pecps.poliziadistato.it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